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На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основу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члана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19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. став 1.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тачка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3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. и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члана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21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став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З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акона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(“Сл. Г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ласник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РС”, бр.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72 / 2011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 бр. 88/2013, бр. 105/2014, бр. 104/2016-др.закон, бр. 108/2016, бр. 113/2017, бр. 95/2018, бр. 153/2020)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ана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40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став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тачка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38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татута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(“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Службени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лист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”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број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2 / 2019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), 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купштина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седници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одржаној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29. априла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2021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године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 д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онела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следећу</w:t>
      </w:r>
      <w:proofErr w:type="spellEnd"/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ОДЛУКУ</w:t>
      </w:r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О УСТУПАЊУ ПРАВА КОРИШЋЕЊА И УПРАВЉАЊА НА ОБЈЕКТУ  ТУРИСТИЧКО РЕКРЕАТИВНОГ КОМПЛЕКСА ДОО  ЗЛАТИБОР</w:t>
      </w:r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Члан 1.</w:t>
      </w:r>
    </w:p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као носилац 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ванкњижног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јавне својине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објекту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портско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туристичк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центра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р који се налази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териториј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и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уступа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кориснику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ТУРИСТИЧКО РЕКРЕАТИВНИ КОМПЛЕКС ДОО ЗЛАТИБОР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,</w:t>
      </w:r>
      <w:r w:rsidRPr="00596F41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са регистрованим седиштем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Златибор, ул. Спортова бб, уписан у Регистар привредних субјеката Агенције за привредне регистре под матичним бројем 21665959, право коришћења на неодређено време за потребе обављања делатности за које је наведено привредно друштво и основано, на непокретности: </w:t>
      </w:r>
    </w:p>
    <w:p w:rsidR="00C233C2" w:rsidRPr="00596F41" w:rsidRDefault="00C233C2" w:rsidP="00C233C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1. Хотел СТЦ Златибор са спортском двораном која је функционално подељена у два дела спојена у један објекат; први део објекта представља пословну зграду, број објекта 1, ламела П, пословне просторије хотела, 6 етажа (подрум, ниско приземље, високо приземље, 1.спрат, таван и таван </w:t>
      </w:r>
      <w:r w:rsidRPr="00596F41">
        <w:rPr>
          <w:rFonts w:ascii="Arial" w:eastAsiaTheme="minorEastAsia" w:hAnsi="Arial" w:cs="Arial"/>
          <w:sz w:val="24"/>
          <w:szCs w:val="24"/>
          <w:lang w:eastAsia="zh-CN"/>
        </w:rPr>
        <w:t>II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); а други део објекта број објекта 1, ламела Д, спортска дворана, 4 етаже (подрум, ниско приземље, високо приземље, галерија, таван); све укупне површине посебних делова 7.550,62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 xml:space="preserve">2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(82%) и укупне површине заједничких делова која износи 1.669,87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(18%),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тј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укупне површине 9.220,49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 xml:space="preserve">2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(100%), заједно са припадајућим грађевинским земљиштем и то: </w:t>
      </w:r>
    </w:p>
    <w:p w:rsidR="00C233C2" w:rsidRPr="00596F41" w:rsidRDefault="00C233C2" w:rsidP="00C233C2">
      <w:pPr>
        <w:spacing w:line="240" w:lineRule="auto"/>
        <w:ind w:left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к.п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. 4469/16 КО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површине 1ха 21а 06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 xml:space="preserve">2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која се састоји из земљишта под зградом - објектом површине 49а 79м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и земљишта уз зграду објекат површине 71а 27м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- стамбено пословна зграда изграђена на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к.п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. 4469/16 КО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 број зграде 1, површине у основи 49а 79м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број етажа: 1ПО+1ПР+2СП+1ПК, </w:t>
      </w:r>
    </w:p>
    <w:p w:rsidR="00C233C2" w:rsidRPr="00596F41" w:rsidRDefault="00C233C2" w:rsidP="00C233C2">
      <w:pPr>
        <w:spacing w:line="240" w:lineRule="auto"/>
        <w:ind w:left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- посебни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етажирани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делови стамбено пословне зграде изграђене на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к.п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. 4469/16 КО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и то: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сутерену, број Д1 - пословни простор - девет и више просторија за физичку културу, свлачионице, пословни простор 83 просторије површине 825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lastRenderedPageBreak/>
        <w:t>- улаз 1, пословни простор у сутерену, број ДЛ - пословни простор - девет и више просторија за које није утврђена делатност- пословни простор - локал, 12 просторија површине 301м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сутерену, број П1 - пословни простор - девет и више просторија за који није утврђена делатност - пословни простор 65 просторија површине 1.201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ниском приземљу, број Д1 - пословни простор - девет и више просторија за спорт и физичку културу - спортска дворана, пословни простор 30 просторија површине 1.729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ниском приземљу, број П1 - пословни простор - три просторије за које није утврђена делатност, пословни простор интерне комуникације површине 30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високом приземљу, број Д/1 - пословни простор - девет и више просторија за спорт и физичку културу - трибине, пословни простор 13 просторија површине 603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високом приземљу, број П/1 - пословни простор - две просторије за које није утврђена делатност - пословни простор канцеларије, 2 просторије површине 35м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високом приземљу, број Д 2 - пословни простор - девет и више просторија за спорт и физичку културу - хол посетилаца, пословни простор 19 просторија површине 157м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високом приземљу, број П 2 - пословни простор - девет и више просторија угоститељства - ресторан, пословни простор 14просторија површине 266м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на првом спрату, број П/1 - пословни простор за који није утврђена делатност - сервис хотела, пословни простор површине 15 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на првом спрату, број П/14 - пословни простор - једна просторија за коју није утврђена делатност - сервис хотела, пословни простор површине 21м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на првом спрату, број П2 - пословни простор - три просторије за које није утврђена делатност - сервис хотела, пословни простор површине 17м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на првом спрату, број П3 - пословни простор - једна просторија за коју није утврђена делатност - сервис хотела, пословни простор површине 10м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lastRenderedPageBreak/>
        <w:t xml:space="preserve">- улаз 1, пословни простор у поткровљу, број Д/1 - пословни простор - девет и више просторија за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спрот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и физичку културу - галерија дворане, пословни простор 18 просторија површине 659м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поткровљу, број Д/2 - пословни простор - девет и више просторија туризма - хотелски апартмани, пословни простор 49 просторија површине 316м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поткровљу, број П/1 - пословни простор - девет и више просторија туризма - хотелски смештај, пословни простор 94просторија површине 1.213м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- улаз 1, пословни простор у поткровљу друга етажа, број П/1 - пословни простор - девет и више просторија телекомуникација и информисања - радио и ТВ студио, пословни простор 15 просторија површине 151м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2. Кат. парцели 4469/20 КО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 површине 25а 46м</w:t>
      </w:r>
      <w:r w:rsidRPr="00596F41">
        <w:rPr>
          <w:rFonts w:ascii="Arial" w:eastAsiaTheme="minorEastAsia" w:hAnsi="Arial" w:cs="Arial"/>
          <w:sz w:val="24"/>
          <w:szCs w:val="24"/>
          <w:vertAlign w:val="superscript"/>
          <w:lang w:val="sr-Cyrl-RS" w:eastAsia="zh-CN"/>
        </w:rPr>
        <w:t>2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ливада 7. класе, уписана као градско грађевинско земљиште. </w:t>
      </w:r>
    </w:p>
    <w:p w:rsidR="00C233C2" w:rsidRPr="00596F41" w:rsidRDefault="00C233C2" w:rsidP="00C233C2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Право коришћења и управљања које се овом Одлуком преноси обухвата: </w:t>
      </w:r>
    </w:p>
    <w:p w:rsidR="00C233C2" w:rsidRPr="00596F41" w:rsidRDefault="00C233C2" w:rsidP="00C233C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1. 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амостално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коришћења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објектом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потребе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одржавања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редовног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пословања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иступање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извршавање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обавеза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запосленима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пословним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партнерима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државним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органима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,</w:t>
      </w:r>
    </w:p>
    <w:p w:rsidR="00C233C2" w:rsidRPr="00596F41" w:rsidRDefault="00C233C2" w:rsidP="00C233C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2. И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нвестициона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улагања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набавку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неопходне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обављање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делатности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могуће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вршити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само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уз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претходну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писмену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сагласност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C233C2" w:rsidRPr="00596F41" w:rsidRDefault="00C233C2" w:rsidP="00C233C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3.ТУРИСТИЧКО РЕКРЕАТИВНИ КОМПЛЕКС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самостално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располаже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приходима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оствареним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обављањем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делатности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потребе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исплате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зараде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запослених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трошкове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текућег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пословања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одржавања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поправки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док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инвестициона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улагања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неопходна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претходна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сагласност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C233C2" w:rsidRPr="00596F41" w:rsidRDefault="00C233C2" w:rsidP="00C233C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снивач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искључиви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носилац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горе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наведеној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непокретности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и свим њеним деловима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C233C2" w:rsidRPr="00596F41" w:rsidRDefault="00C233C2" w:rsidP="00C233C2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</w:t>
      </w:r>
      <w:proofErr w:type="spellStart"/>
      <w:r w:rsidRPr="00596F41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лан</w:t>
      </w:r>
      <w:proofErr w:type="spellEnd"/>
      <w:r w:rsidRPr="00596F41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 xml:space="preserve"> 2</w:t>
      </w: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.</w:t>
      </w:r>
    </w:p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Н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основу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ове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закључиће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уговор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међусобним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односима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обавезама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ТУРИСТИЧКО РЕКРЕАТИВНИ КОМПЛЕКС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као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корисника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као оснивача и носиоца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непокретности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из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члана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ове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C233C2" w:rsidRPr="00596F41" w:rsidRDefault="00C233C2" w:rsidP="00C233C2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</w:t>
      </w:r>
      <w:proofErr w:type="spellStart"/>
      <w:r w:rsidRPr="00596F41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лан</w:t>
      </w:r>
      <w:proofErr w:type="spellEnd"/>
      <w:r w:rsidRPr="00596F41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 xml:space="preserve"> 3</w:t>
      </w: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.</w:t>
      </w:r>
    </w:p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Овом одлуком не преноси се право својине на 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твари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ма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на којима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овом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преноси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коришћења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lastRenderedPageBreak/>
        <w:t>основу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ове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може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вршити било какав упис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књигама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непокретностима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њима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. </w:t>
      </w:r>
    </w:p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ТУРИСТИЧКО РЕКРЕАТИВНИ КОМПЛЕКС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Златиборније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овлашћен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може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располаже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отуђи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нити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непокретности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покретне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ствари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даље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уступа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коришћење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без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сагласности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општине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C233C2" w:rsidRPr="00596F41" w:rsidRDefault="00C233C2" w:rsidP="00C233C2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</w:t>
      </w:r>
      <w:proofErr w:type="spellStart"/>
      <w:r w:rsidRPr="00596F41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лан</w:t>
      </w:r>
      <w:proofErr w:type="spellEnd"/>
      <w:r w:rsidRPr="00596F41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 xml:space="preserve"> 4</w:t>
      </w: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.</w:t>
      </w:r>
    </w:p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ступа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снагу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даном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доношења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биће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објављена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                        '' 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лужбеном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листу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''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C233C2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C233C2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line="240" w:lineRule="auto"/>
        <w:jc w:val="center"/>
        <w:rPr>
          <w:rFonts w:ascii="Arial" w:eastAsiaTheme="minorEastAsia" w:hAnsi="Arial" w:cs="Arial"/>
          <w:b/>
          <w:bCs/>
          <w:i/>
          <w:i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i/>
          <w:iCs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b/>
          <w:bCs/>
          <w:i/>
          <w:iCs/>
          <w:sz w:val="24"/>
          <w:szCs w:val="24"/>
          <w:lang w:val="en-US" w:eastAsia="zh-CN"/>
        </w:rPr>
        <w:t>бразложење</w:t>
      </w:r>
      <w:proofErr w:type="spellEnd"/>
    </w:p>
    <w:p w:rsidR="00C233C2" w:rsidRPr="00596F41" w:rsidRDefault="00C233C2" w:rsidP="00C233C2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ТУРИСТИЧКО РЕКРЕАТИВНИ КОМПЛЕКС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обратио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и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са предлогом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доношење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уступању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коришћења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објекту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портско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туристичк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центр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а на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</w:t>
      </w:r>
      <w:proofErr w:type="spellEnd"/>
      <w:r>
        <w:rPr>
          <w:rFonts w:ascii="Arial" w:eastAsiaTheme="minorEastAsia" w:hAnsi="Arial" w:cs="Arial"/>
          <w:sz w:val="24"/>
          <w:szCs w:val="24"/>
          <w:lang w:val="sr-Cyrl-RS" w:eastAsia="zh-CN"/>
        </w:rPr>
        <w:t>у ул. Спортова бб.</w:t>
      </w:r>
    </w:p>
    <w:p w:rsidR="00C233C2" w:rsidRPr="00596F41" w:rsidRDefault="00C233C2" w:rsidP="00C233C2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Општина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је стекла право јавне својине на наведеној непокретности на основу Уговора о продаји непокретности који је оверен код јавног бележника Милке Средојевић у Ужицу под ОПУ бр. 41-2019 од дана 11.01.2019. године. </w:t>
      </w:r>
    </w:p>
    <w:p w:rsidR="00C233C2" w:rsidRPr="00596F41" w:rsidRDefault="00C233C2" w:rsidP="00C233C2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као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носилац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објекту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једини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члан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привредном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друштву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ТУРИСТИЧКО РЕКРЕАТИВНИ КОМПЛЕКС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подношењем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захтева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исказа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потребу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му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пренесе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коришћења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објекту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туристичког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центра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ради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обављања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делатности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због које је основано. </w:t>
      </w:r>
    </w:p>
    <w:p w:rsidR="00C233C2" w:rsidRPr="00596F41" w:rsidRDefault="00C233C2" w:rsidP="00C233C2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Одлуком о оснивању привредног друштва са ограниченом одговорношћу коју је донела Скупштина општине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под бр. 02-08/2021 од 18.02.2021. године основано је привредно друштво ТУРИСТИЧКО РЕКРЕАТИВНИ КОМПЛЕКС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Златибор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а чл. 1 наведене Одлуке одређено је да ће наведеном привредном друштву бити додељен на управљање објекат Спортски центар на Златибору а све у циљу унапређења и развоја спортског туризма на Златибору. </w:t>
      </w:r>
    </w:p>
    <w:p w:rsidR="00C233C2" w:rsidRPr="00596F41" w:rsidRDefault="00C233C2" w:rsidP="00C233C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  <w:t>За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коном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прописано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:</w:t>
      </w:r>
    </w:p>
    <w:p w:rsidR="00C233C2" w:rsidRPr="00596F41" w:rsidRDefault="00C233C2" w:rsidP="00C233C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носилац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(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члан</w:t>
      </w:r>
      <w:proofErr w:type="spellEnd"/>
      <w:proofErr w:type="gram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18),</w:t>
      </w:r>
    </w:p>
    <w:p w:rsidR="00C233C2" w:rsidRPr="00596F41" w:rsidRDefault="00C233C2" w:rsidP="00C233C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корисници ствари у јавној својини, између осталих, и друштва капитала чији је оснивач јединица локалне самоуправе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основу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уговора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закључ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е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основу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акта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надлежног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органа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којим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ствари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нису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пренет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е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друштва </w:t>
      </w:r>
      <w:proofErr w:type="gram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( члан</w:t>
      </w:r>
      <w:proofErr w:type="gram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19 став1 тачка3),</w:t>
      </w:r>
    </w:p>
    <w:p w:rsidR="00C233C2" w:rsidRPr="00596F41" w:rsidRDefault="00C233C2" w:rsidP="00C233C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друштва капитала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чији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јединица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локалне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самоуправе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која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обављају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делатност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општег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интереса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користе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непокретности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нису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уложене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капитал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а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основу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посебног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закона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оснивачког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акта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или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уговора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закљученог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оснивачем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gram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(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члан</w:t>
      </w:r>
      <w:proofErr w:type="spellEnd"/>
      <w:proofErr w:type="gram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21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став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1).</w:t>
      </w:r>
    </w:p>
    <w:p w:rsidR="00C233C2" w:rsidRPr="00596F41" w:rsidRDefault="00C233C2" w:rsidP="00C233C2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татутом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број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02-84/2018-01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21.02.2019.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године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утврђена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надлежност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купштине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између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осталог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да</w:t>
      </w:r>
      <w:proofErr w:type="spellEnd"/>
    </w:p>
    <w:p w:rsidR="00C233C2" w:rsidRPr="00596F41" w:rsidRDefault="00C233C2" w:rsidP="00C233C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lastRenderedPageBreak/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одлучује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улагању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ствари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јавној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капитал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јавног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предузећа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друштва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капитала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чији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складу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законом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proofErr w:type="gram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( члан</w:t>
      </w:r>
      <w:proofErr w:type="gram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40 став1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тачка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37)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C233C2" w:rsidRPr="00596F41" w:rsidRDefault="00C233C2" w:rsidP="00C233C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одлучује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преносу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права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коришћења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стварима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својини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установама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јавним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агенцијама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другим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организацијама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чији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је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оснивач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gram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( члан</w:t>
      </w:r>
      <w:proofErr w:type="gram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40 став1 тачка38)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</w:p>
    <w:p w:rsidR="00C233C2" w:rsidRDefault="00C233C2" w:rsidP="00C233C2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ходно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свему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наведеном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купштина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општине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Чајетина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доноси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одлуку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као </w:t>
      </w:r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у </w:t>
      </w:r>
      <w:proofErr w:type="spellStart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изреци</w:t>
      </w:r>
      <w:proofErr w:type="spellEnd"/>
      <w:r w:rsidRPr="00596F41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C233C2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val="sr-Cyrl-RS" w:eastAsia="zh-CN"/>
        </w:rPr>
      </w:pPr>
    </w:p>
    <w:p w:rsidR="00C233C2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val="sr-Cyrl-RS" w:eastAsia="zh-CN"/>
        </w:rPr>
      </w:pPr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8"/>
          <w:szCs w:val="28"/>
          <w:lang w:val="sr-Cyrl-RS" w:eastAsia="zh-CN"/>
        </w:rPr>
        <w:t>СКУПШТИНА ОПШТИНЕ ЧАЈЕТИНА</w:t>
      </w:r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Број: 02-51/2021- 01 од 29. априла 2021. године.</w:t>
      </w:r>
    </w:p>
    <w:p w:rsidR="00C233C2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</w:p>
    <w:p w:rsidR="00C233C2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</w:p>
    <w:p w:rsidR="00C233C2" w:rsidRPr="00596F41" w:rsidRDefault="00C233C2" w:rsidP="00C233C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 xml:space="preserve">   ПРЕДСЕДНИК</w:t>
      </w:r>
    </w:p>
    <w:p w:rsidR="00C233C2" w:rsidRPr="00596F41" w:rsidRDefault="00C233C2" w:rsidP="00C233C2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596F41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  <w:t xml:space="preserve">                                        Скупштине општине</w:t>
      </w: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C233C2" w:rsidRPr="00D77306" w:rsidRDefault="00C233C2" w:rsidP="00C233C2">
      <w:pPr>
        <w:spacing w:after="0" w:line="240" w:lineRule="auto"/>
        <w:rPr>
          <w:rFonts w:ascii="Arial" w:eastAsiaTheme="minorEastAsia" w:hAnsi="Arial" w:cs="Arial"/>
          <w:i/>
          <w:sz w:val="24"/>
          <w:szCs w:val="24"/>
          <w:lang w:val="sr-Cyrl-RS" w:eastAsia="zh-CN"/>
        </w:rPr>
      </w:pPr>
      <w:r w:rsidRPr="00596F41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                                                                                                  </w:t>
      </w:r>
      <w:r w:rsidRPr="00596F41">
        <w:rPr>
          <w:rFonts w:ascii="Arial" w:eastAsiaTheme="minorEastAsia" w:hAnsi="Arial" w:cs="Arial"/>
          <w:i/>
          <w:sz w:val="24"/>
          <w:szCs w:val="24"/>
          <w:lang w:val="sr-Cyrl-RS" w:eastAsia="zh-CN"/>
        </w:rPr>
        <w:t>Арсен  Ђурић</w:t>
      </w:r>
    </w:p>
    <w:p w:rsidR="0085383B" w:rsidRDefault="0085383B">
      <w:bookmarkStart w:id="0" w:name="_GoBack"/>
      <w:bookmarkEnd w:id="0"/>
    </w:p>
    <w:sectPr w:rsidR="0085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1DD"/>
    <w:multiLevelType w:val="hybridMultilevel"/>
    <w:tmpl w:val="868067A8"/>
    <w:lvl w:ilvl="0" w:tplc="B3DEE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3B2C"/>
    <w:multiLevelType w:val="hybridMultilevel"/>
    <w:tmpl w:val="3AD8D484"/>
    <w:lvl w:ilvl="0" w:tplc="5296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12A0"/>
    <w:multiLevelType w:val="hybridMultilevel"/>
    <w:tmpl w:val="6BF64806"/>
    <w:lvl w:ilvl="0" w:tplc="5296974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E"/>
    <w:rsid w:val="00093C97"/>
    <w:rsid w:val="0043736E"/>
    <w:rsid w:val="0085383B"/>
    <w:rsid w:val="00C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9AAF"/>
  <w15:chartTrackingRefBased/>
  <w15:docId w15:val="{C8BDFF97-8A1A-42FB-85E3-7BC929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6E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2022-11-25T12:19:00Z</dcterms:created>
  <dcterms:modified xsi:type="dcterms:W3CDTF">2022-11-25T12:19:00Z</dcterms:modified>
</cp:coreProperties>
</file>