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E1" w:rsidRPr="00AF4234" w:rsidRDefault="00BA1AE1" w:rsidP="00BA1AE1">
      <w:pPr>
        <w:widowControl w:val="0"/>
        <w:numPr>
          <w:ilvl w:val="0"/>
          <w:numId w:val="20"/>
        </w:numPr>
        <w:tabs>
          <w:tab w:val="clear" w:pos="708"/>
          <w:tab w:val="num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:lang w:val="en-US" w:eastAsia="hi-IN" w:bidi="hi-IN"/>
        </w:rPr>
      </w:pP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основу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>члана 29. ст. 4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Закона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о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јавној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својини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(„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Службени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гласник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РС“,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број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72/2011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и 88/2013</w:t>
      </w:r>
      <w:r w:rsidRPr="00AF4234">
        <w:rPr>
          <w:rFonts w:ascii="Arial" w:eastAsia="Times New Roman" w:hAnsi="Arial" w:cs="Arial"/>
          <w:b/>
          <w:bCs/>
          <w:iCs/>
          <w:color w:val="FFE8BF"/>
          <w:sz w:val="24"/>
          <w:szCs w:val="24"/>
          <w:lang w:val="en-US"/>
        </w:rPr>
        <w:t xml:space="preserve"> </w:t>
      </w:r>
      <w:r w:rsidRPr="00AF4234">
        <w:rPr>
          <w:rFonts w:ascii="Arial" w:eastAsia="Times New Roman" w:hAnsi="Arial" w:cs="Arial"/>
          <w:iCs/>
          <w:kern w:val="2"/>
          <w:sz w:val="24"/>
          <w:szCs w:val="24"/>
          <w:lang w:val="en-US" w:eastAsia="ar-SA"/>
        </w:rPr>
        <w:t xml:space="preserve">05/2014, 104/2016 – </w:t>
      </w:r>
      <w:proofErr w:type="spellStart"/>
      <w:r w:rsidRPr="00AF4234">
        <w:rPr>
          <w:rFonts w:ascii="Arial" w:eastAsia="Times New Roman" w:hAnsi="Arial" w:cs="Arial"/>
          <w:iCs/>
          <w:kern w:val="2"/>
          <w:sz w:val="24"/>
          <w:szCs w:val="24"/>
          <w:lang w:val="sr-Cyrl-RS" w:eastAsia="ar-SA"/>
        </w:rPr>
        <w:t>др.закон</w:t>
      </w:r>
      <w:proofErr w:type="spellEnd"/>
      <w:r w:rsidRPr="00AF4234">
        <w:rPr>
          <w:rFonts w:ascii="Arial" w:eastAsia="Times New Roman" w:hAnsi="Arial" w:cs="Arial"/>
          <w:iCs/>
          <w:kern w:val="2"/>
          <w:sz w:val="24"/>
          <w:szCs w:val="24"/>
          <w:lang w:val="en-US" w:eastAsia="ar-SA"/>
        </w:rPr>
        <w:t xml:space="preserve">, 108/2016, 113/2017 </w:t>
      </w:r>
      <w:r w:rsidRPr="00AF4234">
        <w:rPr>
          <w:rFonts w:ascii="Arial" w:eastAsia="Times New Roman" w:hAnsi="Arial" w:cs="Arial"/>
          <w:iCs/>
          <w:kern w:val="2"/>
          <w:sz w:val="24"/>
          <w:szCs w:val="24"/>
          <w:lang w:val="sr-Cyrl-RS" w:eastAsia="ar-SA"/>
        </w:rPr>
        <w:t>и</w:t>
      </w:r>
      <w:r w:rsidRPr="00AF4234">
        <w:rPr>
          <w:rFonts w:ascii="Arial" w:eastAsia="Times New Roman" w:hAnsi="Arial" w:cs="Arial"/>
          <w:iCs/>
          <w:kern w:val="2"/>
          <w:sz w:val="24"/>
          <w:szCs w:val="24"/>
          <w:lang w:val="en-US" w:eastAsia="ar-SA"/>
        </w:rPr>
        <w:t xml:space="preserve"> 95/2018)</w:t>
      </w:r>
      <w:r w:rsidRPr="00AF4234">
        <w:rPr>
          <w:rFonts w:ascii="Arial" w:eastAsia="Times New Roman" w:hAnsi="Arial" w:cs="Arial"/>
          <w:iCs/>
          <w:kern w:val="2"/>
          <w:sz w:val="24"/>
          <w:szCs w:val="24"/>
          <w:lang w:val="sr-Cyrl-RS" w:eastAsia="ar-SA"/>
        </w:rPr>
        <w:t xml:space="preserve">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,члана 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99.став 20 Закона о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планрању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и изградњи ("Сл. гласник РС", бр. 72/2009, 81/2009 -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испр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., 64/2010 - одлука УС, 24/2011, 121/2012, 42/2013 - одлука УС, 50/2013 - одлука УС, 98/2013 - одлука УС, 132/2014, 145/2014, 83/2018, 31/2019 и 37/2019 - др. закон</w:t>
      </w:r>
      <w:r w:rsidRPr="00AF4234">
        <w:rPr>
          <w:rFonts w:ascii="Arial" w:eastAsia="Times New Roman" w:hAnsi="Arial" w:cs="Arial"/>
          <w:b/>
          <w:bCs/>
          <w:i/>
          <w:iCs/>
          <w:color w:val="FFE8BF"/>
          <w:sz w:val="24"/>
          <w:szCs w:val="24"/>
          <w:lang w:val="en-US"/>
        </w:rPr>
        <w:t xml:space="preserve"> </w:t>
      </w:r>
      <w:r w:rsidRPr="00AF4234">
        <w:rPr>
          <w:rFonts w:ascii="Arial" w:eastAsia="Times New Roman" w:hAnsi="Arial" w:cs="Arial"/>
          <w:i/>
          <w:iCs/>
          <w:kern w:val="2"/>
          <w:sz w:val="24"/>
          <w:szCs w:val="24"/>
          <w:lang w:val="en-US" w:eastAsia="hi-IN" w:bidi="hi-IN"/>
        </w:rPr>
        <w:t> -</w:t>
      </w:r>
      <w:r w:rsidRPr="00AF4234">
        <w:rPr>
          <w:rFonts w:ascii="Arial" w:eastAsia="Times New Roman" w:hAnsi="Arial" w:cs="Arial"/>
          <w:iCs/>
          <w:kern w:val="2"/>
          <w:sz w:val="24"/>
          <w:szCs w:val="24"/>
          <w:lang w:val="sr-Cyrl-RS" w:eastAsia="hi-IN" w:bidi="hi-IN"/>
        </w:rPr>
        <w:t xml:space="preserve">и </w:t>
      </w:r>
      <w:r w:rsidRPr="00AF4234">
        <w:rPr>
          <w:rFonts w:ascii="Arial" w:eastAsia="Times New Roman" w:hAnsi="Arial" w:cs="Arial"/>
          <w:iCs/>
          <w:kern w:val="2"/>
          <w:sz w:val="24"/>
          <w:szCs w:val="24"/>
          <w:lang w:val="en-US" w:eastAsia="hi-IN" w:bidi="hi-IN"/>
        </w:rPr>
        <w:t>9/2020)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, члана 184 Закона о општем управном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постпуку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(„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Сл.гласник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РС“,бр.18/2016 и 95/2018 – аутентично тумачење)  и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члана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r w:rsidRPr="00AF4234">
        <w:rPr>
          <w:rFonts w:ascii="Arial" w:hAnsi="Arial" w:cs="Arial"/>
          <w:sz w:val="24"/>
          <w:szCs w:val="24"/>
          <w:lang w:val="sr-Cyrl-RS"/>
        </w:rPr>
        <w:t xml:space="preserve">40. Статута општине </w:t>
      </w:r>
      <w:proofErr w:type="spellStart"/>
      <w:r w:rsidRPr="00AF4234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AF4234">
        <w:rPr>
          <w:rFonts w:ascii="Arial" w:hAnsi="Arial" w:cs="Arial"/>
          <w:sz w:val="24"/>
          <w:szCs w:val="24"/>
          <w:lang w:val="sr-Cyrl-RS"/>
        </w:rPr>
        <w:t xml:space="preserve">(„Службени лист општине </w:t>
      </w:r>
      <w:proofErr w:type="spellStart"/>
      <w:r w:rsidRPr="00AF4234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AF4234">
        <w:rPr>
          <w:rFonts w:ascii="Arial" w:hAnsi="Arial" w:cs="Arial"/>
          <w:sz w:val="24"/>
          <w:szCs w:val="24"/>
          <w:lang w:val="sr-Cyrl-RS"/>
        </w:rPr>
        <w:t xml:space="preserve">“, бр.2/2019), Скупштина општине </w:t>
      </w:r>
      <w:proofErr w:type="spellStart"/>
      <w:r w:rsidRPr="00AF4234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AF4234">
        <w:rPr>
          <w:rFonts w:ascii="Arial" w:hAnsi="Arial" w:cs="Arial"/>
          <w:sz w:val="24"/>
          <w:szCs w:val="24"/>
          <w:lang w:val="sr-Cyrl-RS"/>
        </w:rPr>
        <w:t>, на седници одржаној дана  18. фебруара 2021.године, доноси :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de-DE"/>
        </w:rPr>
      </w:pPr>
    </w:p>
    <w:p w:rsidR="00BA1AE1" w:rsidRPr="00AF4234" w:rsidRDefault="00BA1AE1" w:rsidP="00BA1AE1">
      <w:pPr>
        <w:widowControl w:val="0"/>
        <w:numPr>
          <w:ilvl w:val="0"/>
          <w:numId w:val="20"/>
        </w:numPr>
        <w:tabs>
          <w:tab w:val="clear" w:pos="708"/>
          <w:tab w:val="num" w:pos="0"/>
        </w:tabs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val="en-US" w:eastAsia="ar-SA"/>
        </w:rPr>
      </w:pPr>
      <w:proofErr w:type="gramStart"/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en-US" w:eastAsia="ar-SA"/>
        </w:rPr>
        <w:t>О  Д</w:t>
      </w:r>
      <w:proofErr w:type="gramEnd"/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en-US" w:eastAsia="ar-SA"/>
        </w:rPr>
        <w:t xml:space="preserve">  Л  У  К  У</w:t>
      </w:r>
    </w:p>
    <w:p w:rsidR="00BA1AE1" w:rsidRPr="00AF4234" w:rsidRDefault="00BA1AE1" w:rsidP="00BA1AE1">
      <w:pPr>
        <w:widowControl w:val="0"/>
        <w:numPr>
          <w:ilvl w:val="0"/>
          <w:numId w:val="20"/>
        </w:numPr>
        <w:tabs>
          <w:tab w:val="clear" w:pos="708"/>
          <w:tab w:val="num" w:pos="0"/>
        </w:tabs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n-US" w:eastAsia="ar-SA"/>
        </w:rPr>
      </w:pPr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en-US" w:eastAsia="ar-SA"/>
        </w:rPr>
        <w:t xml:space="preserve">О </w:t>
      </w:r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sr-Cyrl-RS" w:eastAsia="ar-SA"/>
        </w:rPr>
        <w:t>ПРИБАВЉАЊУ У ЈАВНУ СВОЈИНУ</w:t>
      </w:r>
      <w:r>
        <w:rPr>
          <w:rFonts w:ascii="Arial" w:eastAsia="Times New Roman" w:hAnsi="Arial" w:cs="Arial"/>
          <w:b/>
          <w:bCs/>
          <w:kern w:val="2"/>
          <w:sz w:val="24"/>
          <w:szCs w:val="24"/>
          <w:lang w:val="sr-Cyrl-RS" w:eastAsia="ar-SA"/>
        </w:rPr>
        <w:t xml:space="preserve"> КАТ.ПАРЦЕЛА 4267/5 И 4266/2 КО </w:t>
      </w:r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sr-Cyrl-RS" w:eastAsia="ar-SA"/>
        </w:rPr>
        <w:t>ЧАЈЕТИНА</w:t>
      </w:r>
    </w:p>
    <w:p w:rsidR="00BA1AE1" w:rsidRPr="00AF4234" w:rsidRDefault="00BA1AE1" w:rsidP="00BA1AE1">
      <w:pPr>
        <w:widowControl w:val="0"/>
        <w:numPr>
          <w:ilvl w:val="0"/>
          <w:numId w:val="20"/>
        </w:numPr>
        <w:tabs>
          <w:tab w:val="clear" w:pos="708"/>
          <w:tab w:val="num" w:pos="0"/>
        </w:tabs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n-US" w:eastAsia="ar-SA"/>
        </w:rPr>
      </w:pP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sr-Cyrl-RS" w:eastAsia="ar-SA"/>
        </w:rPr>
        <w:t>1.ПРИБАВЉА СЕ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у јавну својину непосредном погодбом земљиште означено као :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кат.парцела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4267/5 површине 991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>m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val="de-DE" w:eastAsia="ar-SA"/>
        </w:rPr>
        <w:t xml:space="preserve">2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и 4266/2 површине 197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>m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val="de-DE" w:eastAsia="ar-SA"/>
        </w:rPr>
        <w:t>2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 xml:space="preserve">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обе КО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Чајетина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за износ накнаде од 4950,00 динара по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>m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val="de-DE" w:eastAsia="ar-SA"/>
        </w:rPr>
        <w:t xml:space="preserve">2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што укупно износи 5.880.600,00 динара (словима: пет милиона, осам стотина осамдесет хиљада и  шесто динара)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de-DE" w:eastAsia="ar-SA"/>
        </w:rPr>
      </w:pPr>
      <w:r w:rsidRPr="00AF4234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val="de-DE" w:eastAsia="ar-SA"/>
        </w:rPr>
        <w:t>2</w:t>
      </w:r>
      <w:r w:rsidRPr="00AF4234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val="sr-Cyrl-CS" w:eastAsia="ar-SA"/>
        </w:rPr>
        <w:t>.</w:t>
      </w:r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 xml:space="preserve"> О прибављању непокретности у јавну својину из тачки 1.</w:t>
      </w:r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de-DE" w:eastAsia="ar-SA"/>
        </w:rPr>
        <w:t xml:space="preserve"> </w:t>
      </w:r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>ове одлуке закључиће се уговори између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власника парцела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</w:t>
      </w:r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 xml:space="preserve">и </w:t>
      </w:r>
      <w:proofErr w:type="spellStart"/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en-US" w:eastAsia="ar-SA"/>
        </w:rPr>
        <w:t>општин</w:t>
      </w:r>
      <w:proofErr w:type="spellEnd"/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 xml:space="preserve">е </w:t>
      </w:r>
      <w:proofErr w:type="spellStart"/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>Чајетина</w:t>
      </w:r>
      <w:proofErr w:type="spellEnd"/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 xml:space="preserve">, чијем закључењу су </w:t>
      </w:r>
      <w:proofErr w:type="gramStart"/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 xml:space="preserve">странке </w:t>
      </w:r>
      <w:r w:rsidRPr="00AF4234">
        <w:rPr>
          <w:rFonts w:ascii="Arial" w:eastAsia="Times New Roman" w:hAnsi="Arial" w:cs="Arial"/>
          <w:bCs/>
          <w:color w:val="FF0000"/>
          <w:kern w:val="2"/>
          <w:sz w:val="24"/>
          <w:szCs w:val="24"/>
          <w:lang w:val="sr-Cyrl-CS" w:eastAsia="ar-SA"/>
        </w:rPr>
        <w:t xml:space="preserve"> </w:t>
      </w:r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>дужне</w:t>
      </w:r>
      <w:proofErr w:type="gramEnd"/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 xml:space="preserve"> да приступи у року од 30 дана од дана доношења решења. У противном, има се сматрати да су странке одустале од захтева и ово решење ће се поништити.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de-DE" w:eastAsia="ar-SA"/>
        </w:rPr>
      </w:pPr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de-DE" w:eastAsia="ar-SA"/>
        </w:rPr>
        <w:t>3</w:t>
      </w:r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sr-Cyrl-CS" w:eastAsia="ar-SA"/>
        </w:rPr>
        <w:t>.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Овлашћује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председник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општине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Чајетина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,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Милан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Стаматовић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да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у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име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општине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Чајетина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закључи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уговор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из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тачке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>4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.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ове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одлуке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.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de-DE" w:eastAsia="ar-SA"/>
        </w:rPr>
      </w:pPr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sr-Cyrl-CS" w:eastAsia="ar-SA"/>
        </w:rPr>
        <w:t>4.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Уговор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и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о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прибављању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непокретности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из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тачке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gram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1.ове</w:t>
      </w:r>
      <w:proofErr w:type="gram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одлуке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закључуј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у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по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претходно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прибављеном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мишљењу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јавног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правобранилаштва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општине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Чајетина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и исти се оверавају код јавног бележника а трошкови овере падају </w:t>
      </w:r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RS" w:eastAsia="ar-SA"/>
        </w:rPr>
        <w:t xml:space="preserve">на терет Општине </w:t>
      </w:r>
      <w:proofErr w:type="spellStart"/>
      <w:r w:rsidRPr="00AF4234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RS" w:eastAsia="ar-SA"/>
        </w:rPr>
        <w:t>Чајетина</w:t>
      </w:r>
      <w:proofErr w:type="spellEnd"/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RS" w:eastAsia="ar-SA"/>
        </w:rPr>
      </w:pPr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de-DE" w:eastAsia="ar-SA"/>
        </w:rPr>
        <w:t>5</w:t>
      </w:r>
      <w:r w:rsidRPr="00AF4234">
        <w:rPr>
          <w:rFonts w:ascii="Arial" w:eastAsia="Times New Roman" w:hAnsi="Arial" w:cs="Arial"/>
          <w:b/>
          <w:bCs/>
          <w:kern w:val="2"/>
          <w:sz w:val="24"/>
          <w:szCs w:val="24"/>
          <w:lang w:val="sr-Cyrl-CS" w:eastAsia="ar-SA"/>
        </w:rPr>
        <w:t>.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Ова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одлука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ће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објавити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у „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Сл.листу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општине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Чајетина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“ и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ступа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снагу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у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року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од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осам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дана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по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објављивању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.</w:t>
      </w:r>
    </w:p>
    <w:p w:rsidR="00BA1AE1" w:rsidRPr="00AF4234" w:rsidRDefault="00BA1AE1" w:rsidP="00BA1AE1">
      <w:pPr>
        <w:widowControl w:val="0"/>
        <w:numPr>
          <w:ilvl w:val="0"/>
          <w:numId w:val="20"/>
        </w:numPr>
        <w:tabs>
          <w:tab w:val="clear" w:pos="708"/>
          <w:tab w:val="num" w:pos="0"/>
        </w:tabs>
        <w:suppressAutoHyphens/>
        <w:spacing w:after="0" w:line="240" w:lineRule="auto"/>
        <w:ind w:left="0"/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</w:pP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</w:p>
    <w:p w:rsidR="00BA1AE1" w:rsidRPr="00AF4234" w:rsidRDefault="00BA1AE1" w:rsidP="00BA1AE1">
      <w:pPr>
        <w:widowControl w:val="0"/>
        <w:numPr>
          <w:ilvl w:val="0"/>
          <w:numId w:val="20"/>
        </w:numPr>
        <w:tabs>
          <w:tab w:val="clear" w:pos="708"/>
          <w:tab w:val="num" w:pos="0"/>
        </w:tabs>
        <w:suppressAutoHyphens/>
        <w:spacing w:after="0" w:line="240" w:lineRule="auto"/>
        <w:ind w:left="0"/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</w:pPr>
    </w:p>
    <w:p w:rsidR="00BA1AE1" w:rsidRPr="00AF4234" w:rsidRDefault="00BA1AE1" w:rsidP="00BA1AE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b/>
          <w:i/>
          <w:kern w:val="2"/>
          <w:sz w:val="24"/>
          <w:szCs w:val="24"/>
          <w:lang w:val="sr-Cyrl-RS" w:eastAsia="hi-IN" w:bidi="hi-IN"/>
        </w:rPr>
        <w:t>О б р а з л о ж е њ е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kern w:val="2"/>
          <w:sz w:val="24"/>
          <w:szCs w:val="24"/>
          <w:lang w:val="de-DE" w:eastAsia="hi-IN" w:bidi="hi-IN"/>
        </w:rPr>
      </w:pP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Дана 02. фебруара 20201године, Општинској управи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Чајетина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обратило се Општинско правобранилаштво Општине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Чајетина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захтевом за прибављање у јавну својину 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кат.парцела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4267/5 и 4266/2 КО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Чајетина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. 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У захтеву се наводи да су се сувласници на предње наведеним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кат.парцелама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обратили Општинском правобранилаштву са понудом за прибављање у јавну својину предметних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кат.парцела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из разлога што су исте асфалтиране и намењене за општу употребу као и да се те парцеле користе као</w:t>
      </w:r>
    </w:p>
    <w:p w:rsidR="00BA1AE1" w:rsidRDefault="00BA1AE1" w:rsidP="00BA1AE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приступни пут до већег броја других стамбених објеката у том потесу у насељеном месту Златибор и да им је то једини приступ до њихових стамбених </w:t>
      </w:r>
    </w:p>
    <w:p w:rsidR="00BA1AE1" w:rsidRDefault="00BA1AE1" w:rsidP="00BA1AE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Pr="00AF4234" w:rsidRDefault="00BA1AE1" w:rsidP="00BA1AE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објеката. Уз захтев Општинско правобранилашт</w:t>
      </w:r>
      <w:r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во је приложило акт Порес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к</w:t>
      </w:r>
      <w:r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е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управе о просечној тржишној вредности предметних непокретности и извод из листа непокретности.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Поступајући по захтеву  поступајући орган утврдио је :</w:t>
      </w:r>
    </w:p>
    <w:p w:rsidR="00BA1AE1" w:rsidRPr="00AF4234" w:rsidRDefault="00BA1AE1" w:rsidP="00BA1AE1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увидом у лист непокретности број 7601 КО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Чајетина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за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кат.парцеле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4267/5 и 4266/2 обе КО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Чајетина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да су сувласници наведених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кат.парцела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са обимом удела од по 1/2 Јовић Јово из Златибора, Миладина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Пећинара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94 А и Зоран Панић из Лознице, Слободана Пенезића Крцуна 12.</w:t>
      </w:r>
    </w:p>
    <w:p w:rsidR="00BA1AE1" w:rsidRPr="00AF4234" w:rsidRDefault="00BA1AE1" w:rsidP="00BA1AE1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увиђајем извршеним дана 04.02.2021.године на предметним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кат.парцелама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да се на истим налази објекат – асфалтирана улица која представља једину саобраћајну комуникацију за објекте изграђене на околним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кат.парцелама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са јавним путем.</w:t>
      </w:r>
    </w:p>
    <w:p w:rsidR="00BA1AE1" w:rsidRPr="00AF4234" w:rsidRDefault="00BA1AE1" w:rsidP="00BA1AE1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да је на основу процене Министарства финансија – Одељења за контролу издвојених активности Ужице број 100-464-08-16/2021 од 07.01.202..године утврђена тржишна вредност предметног земљишта од 4950,00 динара по 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m</w:t>
      </w:r>
      <w:r w:rsidRPr="00AF4234">
        <w:rPr>
          <w:rFonts w:ascii="Arial" w:eastAsia="Times New Roman" w:hAnsi="Arial" w:cs="Arial"/>
          <w:kern w:val="2"/>
          <w:sz w:val="24"/>
          <w:szCs w:val="24"/>
          <w:vertAlign w:val="superscript"/>
          <w:lang w:val="en-US" w:eastAsia="hi-IN" w:bidi="hi-IN"/>
        </w:rPr>
        <w:t>2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са којом ценом се Зоран Панић у своје име и у име Јова Јовића по приложеном пуномоћју сагласио на записник дана 18.02.2021.године</w:t>
      </w:r>
    </w:p>
    <w:p w:rsidR="00BA1AE1" w:rsidRPr="00AF4234" w:rsidRDefault="00BA1AE1" w:rsidP="00BA1AE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Чланом 29. ст. 4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Закона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о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јавној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својини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прописано је да се  непокретне ствари могу прибавити или отуђити непосредном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погодобом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, али не испод од стране надлежног органа процењене тржишне вредности непокретности (код отуђења) односно не изнад те вредности (код прибављања), ако у конкретном случају то представља једино могуће решење. Предлог акта односно акт о оваквом располагању мора да садржи образложење из кога се може утврдити постојање ових околности.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Чланом 99.став 20 Закона о планирању и изградњи ("Сл. гласник РС", бр. 72/2009, 81/2009 -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испр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., 64/2010 - одлука УС, 24/2011, 121/2012, 42/2013 - одлука УС, 50/2013 - одлука УС, 98/2013 - одлука УС, 132/2014, 145/2014, 83/2018, 31/2019 и 37/2019 - др. закон) предвиђено је да се п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рибављање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неизграђеног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грађевинског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земљишта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у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јавну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својину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за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потребе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уређења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површина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јавне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намене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,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може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,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осим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у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поступку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прописаним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законом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којим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се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уређује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експропријација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,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спровести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и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споразумом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са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власником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грађевинског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земљишта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,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на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начин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и у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поступку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који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се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уређује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општим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актом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јединице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локалне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самоуправе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.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Имајући у виду да 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CS" w:eastAsia="hi-IN" w:bidi="hi-IN"/>
        </w:rPr>
        <w:t xml:space="preserve">у конкретном случају предметно прибављање непокретности представља једино могуће решење а све са разлога што се 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CS" w:eastAsia="hi-IN" w:bidi="hi-IN"/>
        </w:rPr>
        <w:t>кат.парцеле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CS" w:eastAsia="hi-IN" w:bidi="hi-IN"/>
        </w:rPr>
        <w:t xml:space="preserve"> 4267/5 и 4266/2 КО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CS" w:eastAsia="hi-IN" w:bidi="hi-IN"/>
        </w:rPr>
        <w:t>Чајетина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CS" w:eastAsia="hi-IN" w:bidi="hi-IN"/>
        </w:rPr>
        <w:t xml:space="preserve"> већ користе као </w:t>
      </w:r>
      <w:proofErr w:type="spellStart"/>
      <w:r w:rsidRPr="00AF4234">
        <w:rPr>
          <w:rFonts w:ascii="Arial" w:eastAsia="Times New Roman" w:hAnsi="Arial" w:cs="Arial"/>
          <w:kern w:val="2"/>
          <w:sz w:val="24"/>
          <w:szCs w:val="24"/>
          <w:lang w:val="sr-Cyrl-CS" w:eastAsia="hi-IN" w:bidi="hi-IN"/>
        </w:rPr>
        <w:t>као</w:t>
      </w:r>
      <w:proofErr w:type="spellEnd"/>
      <w:r w:rsidRPr="00AF4234">
        <w:rPr>
          <w:rFonts w:ascii="Arial" w:eastAsia="Times New Roman" w:hAnsi="Arial" w:cs="Arial"/>
          <w:kern w:val="2"/>
          <w:sz w:val="24"/>
          <w:szCs w:val="24"/>
          <w:lang w:val="sr-Cyrl-CS" w:eastAsia="hi-IN" w:bidi="hi-IN"/>
        </w:rPr>
        <w:t xml:space="preserve"> површине јавне намене, 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то су испуњени услови прописани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чланом  29. ст. 4</w:t>
      </w:r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Закона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о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јавној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</w:t>
      </w:r>
      <w:proofErr w:type="spellStart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својини</w:t>
      </w:r>
      <w:proofErr w:type="spellEnd"/>
      <w:r w:rsidRPr="00AF4234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и 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чланом 99.став 20 Закона о план</w:t>
      </w:r>
      <w:r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и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рању и изградњи.</w:t>
      </w: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Из напред изнетог чињеничног стања и важећих законских прописа одлучено је као у диспозитиву решења.</w:t>
      </w: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>УПУТСТВО О ПРАВНОМ СРЕДСТВУ:</w:t>
      </w:r>
      <w:r w:rsidRPr="00AF4234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Против овог решења није дозвољена жалба, нити се може покренути управни спор.</w:t>
      </w: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b/>
          <w:kern w:val="2"/>
          <w:sz w:val="28"/>
          <w:szCs w:val="28"/>
          <w:lang w:val="sr-Cyrl-RS" w:eastAsia="hi-IN" w:bidi="hi-IN"/>
        </w:rPr>
      </w:pPr>
      <w:r w:rsidRPr="00AF4234">
        <w:rPr>
          <w:rFonts w:ascii="Arial" w:eastAsia="Times New Roman" w:hAnsi="Arial" w:cs="Arial"/>
          <w:b/>
          <w:kern w:val="2"/>
          <w:sz w:val="28"/>
          <w:szCs w:val="28"/>
          <w:lang w:val="sr-Cyrl-RS" w:eastAsia="hi-IN" w:bidi="hi-IN"/>
        </w:rPr>
        <w:t>СКУПШТИНА ОПШТИНЕ ЧАЈЕТИНА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</w:pPr>
      <w:r w:rsidRPr="00AF4234"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>Број: 46-05/2021-02 од 18. фебруара 2021.године</w:t>
      </w: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</w:pPr>
    </w:p>
    <w:p w:rsidR="00BA1AE1" w:rsidRDefault="00BA1AE1" w:rsidP="00BA1AE1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</w:pPr>
    </w:p>
    <w:p w:rsidR="00BA1AE1" w:rsidRPr="00AF4234" w:rsidRDefault="00BA1AE1" w:rsidP="00BA1AE1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</w:pPr>
    </w:p>
    <w:tbl>
      <w:tblPr>
        <w:tblStyle w:val="Koordinatnamreatabe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704"/>
      </w:tblGrid>
      <w:tr w:rsidR="00BA1AE1" w:rsidRPr="00AF4234" w:rsidTr="00455EB7">
        <w:tc>
          <w:tcPr>
            <w:tcW w:w="4788" w:type="dxa"/>
          </w:tcPr>
          <w:p w:rsidR="00BA1AE1" w:rsidRPr="00BA1AE1" w:rsidRDefault="00BA1AE1" w:rsidP="00BA1AE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</w:pPr>
          </w:p>
          <w:p w:rsidR="00BA1AE1" w:rsidRPr="00AF4234" w:rsidRDefault="00BA1AE1" w:rsidP="00455EB7">
            <w:pPr>
              <w:widowControl w:val="0"/>
              <w:suppressAutoHyphens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</w:pPr>
          </w:p>
        </w:tc>
        <w:tc>
          <w:tcPr>
            <w:tcW w:w="4788" w:type="dxa"/>
            <w:hideMark/>
          </w:tcPr>
          <w:p w:rsidR="00BA1AE1" w:rsidRPr="00AF4234" w:rsidRDefault="00BA1AE1" w:rsidP="00BA1AE1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</w:pPr>
            <w:bookmarkStart w:id="0" w:name="_GoBack"/>
            <w:r w:rsidRPr="00AF423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  <w:t xml:space="preserve">             ПРЕДСЕДНИК</w:t>
            </w:r>
          </w:p>
          <w:p w:rsidR="00BA1AE1" w:rsidRPr="00AF4234" w:rsidRDefault="00BA1AE1" w:rsidP="00BA1AE1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</w:pPr>
            <w:r w:rsidRPr="00AF423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  <w:t xml:space="preserve">            Скупштине  општине,</w:t>
            </w:r>
          </w:p>
          <w:p w:rsidR="00BA1AE1" w:rsidRPr="00AF4234" w:rsidRDefault="00BA1AE1" w:rsidP="00BA1AE1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val="sr-Cyrl-RS" w:eastAsia="hi-IN" w:bidi="hi-IN"/>
              </w:rPr>
            </w:pPr>
            <w:r w:rsidRPr="00AF4234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val="sr-Cyrl-RS" w:eastAsia="hi-IN" w:bidi="hi-IN"/>
              </w:rPr>
              <w:t xml:space="preserve">          Арсен  Ђурић</w:t>
            </w:r>
            <w:bookmarkEnd w:id="0"/>
          </w:p>
        </w:tc>
      </w:tr>
    </w:tbl>
    <w:p w:rsidR="0067794E" w:rsidRPr="00892E4B" w:rsidRDefault="0067794E" w:rsidP="006521A6"/>
    <w:sectPr w:rsidR="0067794E" w:rsidRPr="00892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8"/>
        </w:tabs>
        <w:ind w:left="708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3987AC2"/>
    <w:multiLevelType w:val="hybridMultilevel"/>
    <w:tmpl w:val="56F8C9BE"/>
    <w:lvl w:ilvl="0" w:tplc="843A3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38A"/>
    <w:multiLevelType w:val="hybridMultilevel"/>
    <w:tmpl w:val="1C101360"/>
    <w:lvl w:ilvl="0" w:tplc="D48A369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8149D3"/>
    <w:multiLevelType w:val="hybridMultilevel"/>
    <w:tmpl w:val="D0304636"/>
    <w:lvl w:ilvl="0" w:tplc="14D23C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6531F"/>
    <w:multiLevelType w:val="hybridMultilevel"/>
    <w:tmpl w:val="697C2BC2"/>
    <w:lvl w:ilvl="0" w:tplc="31EA6B8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8F75AD"/>
    <w:multiLevelType w:val="hybridMultilevel"/>
    <w:tmpl w:val="7EB2D34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2D25DC5"/>
    <w:multiLevelType w:val="hybridMultilevel"/>
    <w:tmpl w:val="17FEE6A8"/>
    <w:lvl w:ilvl="0" w:tplc="0409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08" w:hanging="360"/>
      </w:pPr>
    </w:lvl>
    <w:lvl w:ilvl="2" w:tplc="281A001B" w:tentative="1">
      <w:start w:val="1"/>
      <w:numFmt w:val="lowerRoman"/>
      <w:lvlText w:val="%3."/>
      <w:lvlJc w:val="right"/>
      <w:pPr>
        <w:ind w:left="3228" w:hanging="180"/>
      </w:pPr>
    </w:lvl>
    <w:lvl w:ilvl="3" w:tplc="281A000F" w:tentative="1">
      <w:start w:val="1"/>
      <w:numFmt w:val="decimal"/>
      <w:lvlText w:val="%4."/>
      <w:lvlJc w:val="left"/>
      <w:pPr>
        <w:ind w:left="3948" w:hanging="360"/>
      </w:pPr>
    </w:lvl>
    <w:lvl w:ilvl="4" w:tplc="281A0019" w:tentative="1">
      <w:start w:val="1"/>
      <w:numFmt w:val="lowerLetter"/>
      <w:lvlText w:val="%5."/>
      <w:lvlJc w:val="left"/>
      <w:pPr>
        <w:ind w:left="4668" w:hanging="360"/>
      </w:pPr>
    </w:lvl>
    <w:lvl w:ilvl="5" w:tplc="281A001B" w:tentative="1">
      <w:start w:val="1"/>
      <w:numFmt w:val="lowerRoman"/>
      <w:lvlText w:val="%6."/>
      <w:lvlJc w:val="right"/>
      <w:pPr>
        <w:ind w:left="5388" w:hanging="180"/>
      </w:pPr>
    </w:lvl>
    <w:lvl w:ilvl="6" w:tplc="281A000F" w:tentative="1">
      <w:start w:val="1"/>
      <w:numFmt w:val="decimal"/>
      <w:lvlText w:val="%7."/>
      <w:lvlJc w:val="left"/>
      <w:pPr>
        <w:ind w:left="6108" w:hanging="360"/>
      </w:pPr>
    </w:lvl>
    <w:lvl w:ilvl="7" w:tplc="281A0019" w:tentative="1">
      <w:start w:val="1"/>
      <w:numFmt w:val="lowerLetter"/>
      <w:lvlText w:val="%8."/>
      <w:lvlJc w:val="left"/>
      <w:pPr>
        <w:ind w:left="6828" w:hanging="360"/>
      </w:pPr>
    </w:lvl>
    <w:lvl w:ilvl="8" w:tplc="28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3283268"/>
    <w:multiLevelType w:val="hybridMultilevel"/>
    <w:tmpl w:val="A742375E"/>
    <w:lvl w:ilvl="0" w:tplc="569CF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60035"/>
    <w:multiLevelType w:val="hybridMultilevel"/>
    <w:tmpl w:val="99166328"/>
    <w:lvl w:ilvl="0" w:tplc="C02494C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C34A06"/>
    <w:multiLevelType w:val="hybridMultilevel"/>
    <w:tmpl w:val="251E4548"/>
    <w:lvl w:ilvl="0" w:tplc="8F985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14057"/>
    <w:multiLevelType w:val="hybridMultilevel"/>
    <w:tmpl w:val="6E1824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761A0"/>
    <w:multiLevelType w:val="hybridMultilevel"/>
    <w:tmpl w:val="725CCAEE"/>
    <w:lvl w:ilvl="0" w:tplc="0409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08" w:hanging="360"/>
      </w:pPr>
    </w:lvl>
    <w:lvl w:ilvl="2" w:tplc="281A001B" w:tentative="1">
      <w:start w:val="1"/>
      <w:numFmt w:val="lowerRoman"/>
      <w:lvlText w:val="%3."/>
      <w:lvlJc w:val="right"/>
      <w:pPr>
        <w:ind w:left="3228" w:hanging="180"/>
      </w:pPr>
    </w:lvl>
    <w:lvl w:ilvl="3" w:tplc="281A000F" w:tentative="1">
      <w:start w:val="1"/>
      <w:numFmt w:val="decimal"/>
      <w:lvlText w:val="%4."/>
      <w:lvlJc w:val="left"/>
      <w:pPr>
        <w:ind w:left="3948" w:hanging="360"/>
      </w:pPr>
    </w:lvl>
    <w:lvl w:ilvl="4" w:tplc="281A0019" w:tentative="1">
      <w:start w:val="1"/>
      <w:numFmt w:val="lowerLetter"/>
      <w:lvlText w:val="%5."/>
      <w:lvlJc w:val="left"/>
      <w:pPr>
        <w:ind w:left="4668" w:hanging="360"/>
      </w:pPr>
    </w:lvl>
    <w:lvl w:ilvl="5" w:tplc="281A001B" w:tentative="1">
      <w:start w:val="1"/>
      <w:numFmt w:val="lowerRoman"/>
      <w:lvlText w:val="%6."/>
      <w:lvlJc w:val="right"/>
      <w:pPr>
        <w:ind w:left="5388" w:hanging="180"/>
      </w:pPr>
    </w:lvl>
    <w:lvl w:ilvl="6" w:tplc="281A000F" w:tentative="1">
      <w:start w:val="1"/>
      <w:numFmt w:val="decimal"/>
      <w:lvlText w:val="%7."/>
      <w:lvlJc w:val="left"/>
      <w:pPr>
        <w:ind w:left="6108" w:hanging="360"/>
      </w:pPr>
    </w:lvl>
    <w:lvl w:ilvl="7" w:tplc="281A0019" w:tentative="1">
      <w:start w:val="1"/>
      <w:numFmt w:val="lowerLetter"/>
      <w:lvlText w:val="%8."/>
      <w:lvlJc w:val="left"/>
      <w:pPr>
        <w:ind w:left="6828" w:hanging="360"/>
      </w:pPr>
    </w:lvl>
    <w:lvl w:ilvl="8" w:tplc="28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540A4ADA"/>
    <w:multiLevelType w:val="hybridMultilevel"/>
    <w:tmpl w:val="A0906108"/>
    <w:lvl w:ilvl="0" w:tplc="576649A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244171"/>
    <w:multiLevelType w:val="hybridMultilevel"/>
    <w:tmpl w:val="AA7025B4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90161"/>
    <w:multiLevelType w:val="hybridMultilevel"/>
    <w:tmpl w:val="27C2987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530"/>
    <w:multiLevelType w:val="hybridMultilevel"/>
    <w:tmpl w:val="4CB88FC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04AD3"/>
    <w:multiLevelType w:val="hybridMultilevel"/>
    <w:tmpl w:val="A5423CD2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15833"/>
    <w:multiLevelType w:val="hybridMultilevel"/>
    <w:tmpl w:val="1A6AA1D4"/>
    <w:lvl w:ilvl="0" w:tplc="2BFCC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D7410F"/>
    <w:multiLevelType w:val="hybridMultilevel"/>
    <w:tmpl w:val="6472C492"/>
    <w:lvl w:ilvl="0" w:tplc="E2686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0"/>
  </w:num>
  <w:num w:numId="5">
    <w:abstractNumId w:val="16"/>
  </w:num>
  <w:num w:numId="6">
    <w:abstractNumId w:val="2"/>
  </w:num>
  <w:num w:numId="7">
    <w:abstractNumId w:val="5"/>
  </w:num>
  <w:num w:numId="8">
    <w:abstractNumId w:val="9"/>
  </w:num>
  <w:num w:numId="9">
    <w:abstractNumId w:val="15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  <w:num w:numId="15">
    <w:abstractNumId w:val="17"/>
  </w:num>
  <w:num w:numId="16">
    <w:abstractNumId w:val="3"/>
  </w:num>
  <w:num w:numId="17">
    <w:abstractNumId w:val="12"/>
  </w:num>
  <w:num w:numId="18">
    <w:abstractNumId w:val="6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25"/>
    <w:rsid w:val="0004063B"/>
    <w:rsid w:val="0010494F"/>
    <w:rsid w:val="001F1075"/>
    <w:rsid w:val="001F33F4"/>
    <w:rsid w:val="00297C30"/>
    <w:rsid w:val="002C28F0"/>
    <w:rsid w:val="004406E3"/>
    <w:rsid w:val="00546CC8"/>
    <w:rsid w:val="006521A6"/>
    <w:rsid w:val="0065311C"/>
    <w:rsid w:val="0067794E"/>
    <w:rsid w:val="0084767B"/>
    <w:rsid w:val="00892E4B"/>
    <w:rsid w:val="0091602E"/>
    <w:rsid w:val="00AA0023"/>
    <w:rsid w:val="00BA1AE1"/>
    <w:rsid w:val="00D13925"/>
    <w:rsid w:val="00DF6879"/>
    <w:rsid w:val="00E60ADC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3264"/>
  <w15:chartTrackingRefBased/>
  <w15:docId w15:val="{33A1A7DF-7CB3-446D-B4FE-80BC7305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25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13925"/>
    <w:pPr>
      <w:ind w:left="720"/>
      <w:contextualSpacing/>
    </w:pPr>
  </w:style>
  <w:style w:type="paragraph" w:styleId="Bezrazmaka">
    <w:name w:val="No Spacing"/>
    <w:uiPriority w:val="1"/>
    <w:qFormat/>
    <w:rsid w:val="00D13925"/>
    <w:pPr>
      <w:spacing w:after="0" w:line="240" w:lineRule="auto"/>
    </w:pPr>
    <w:rPr>
      <w:lang w:val="sr-Latn-RS"/>
    </w:rPr>
  </w:style>
  <w:style w:type="character" w:styleId="Naglaavanje">
    <w:name w:val="Emphasis"/>
    <w:basedOn w:val="Podrazumevanifontpasusa"/>
    <w:qFormat/>
    <w:rsid w:val="00D13925"/>
    <w:rPr>
      <w:i/>
      <w:iCs/>
    </w:rPr>
  </w:style>
  <w:style w:type="character" w:styleId="Hiperveza">
    <w:name w:val="Hyperlink"/>
    <w:basedOn w:val="Podrazumevanifontpasusa"/>
    <w:uiPriority w:val="99"/>
    <w:semiHidden/>
    <w:unhideWhenUsed/>
    <w:rsid w:val="00E60ADC"/>
    <w:rPr>
      <w:color w:val="0000FF"/>
      <w:u w:val="single"/>
    </w:rPr>
  </w:style>
  <w:style w:type="table" w:styleId="Koordinatnamreatabele">
    <w:name w:val="Table Grid"/>
    <w:basedOn w:val="Normalnatabela"/>
    <w:uiPriority w:val="59"/>
    <w:rsid w:val="00FF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BA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cp:lastPrinted>2022-11-23T07:13:00Z</cp:lastPrinted>
  <dcterms:created xsi:type="dcterms:W3CDTF">2022-11-23T07:49:00Z</dcterms:created>
  <dcterms:modified xsi:type="dcterms:W3CDTF">2022-11-23T07:49:00Z</dcterms:modified>
</cp:coreProperties>
</file>