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На основу члана 46. Закона о планирању и изградњи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>(„Службени гласник РС“, бр. 72/09, 81/09- испр., 64/2010 – одлука УС, 24/2011, 121/2012, 42/2013- одлука УС, 50/2013- одлука УС, 98/2013- одлука УС, 132/2014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 xml:space="preserve">,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>145/2014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>, 83/2018, 31/2019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,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>37/2019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>, 9/2020, 52/2021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en-US"/>
        </w:rPr>
        <w:t xml:space="preserve">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и 62/2023) 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Скупштина општине </w:t>
      </w:r>
      <w:proofErr w:type="spellStart"/>
      <w:r w:rsidRPr="00B31EE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B31EE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 на седници одржаној дана 14. септембра 2023.године , донела је 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CS" w:eastAsia="ar-SA"/>
        </w:rPr>
        <w:t>ОДЛУКА О ИЗРАДИ</w:t>
      </w:r>
      <w:r w:rsidRPr="00B31EE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31EED"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RS" w:eastAsia="ar-SA"/>
        </w:rPr>
        <w:t xml:space="preserve"> ИЗМЕНА И ДОПУНА</w:t>
      </w:r>
      <w:r w:rsidRPr="00B31EED"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ru-RU" w:eastAsia="ar-SA"/>
        </w:rPr>
        <w:t xml:space="preserve"> ПЛАНА ДЕТАЉНЕ РЕГУЛАЦИЈЕ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kern w:val="22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b/>
          <w:caps/>
          <w:color w:val="000000"/>
          <w:kern w:val="22"/>
          <w:sz w:val="24"/>
          <w:szCs w:val="24"/>
          <w:lang w:val="sr-Cyrl-CS" w:eastAsia="ar-SA"/>
        </w:rPr>
        <w:t>за подручје хотела Торник - Камаљ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kern w:val="1"/>
          <w:sz w:val="24"/>
          <w:szCs w:val="24"/>
          <w:lang w:val="en-US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kern w:val="1"/>
          <w:sz w:val="24"/>
          <w:szCs w:val="24"/>
          <w:lang w:val="sr-Cyrl-RS"/>
        </w:rPr>
      </w:pPr>
      <w:r w:rsidRPr="00B31EED">
        <w:rPr>
          <w:rFonts w:ascii="Arial" w:eastAsia="Times New Roman" w:hAnsi="Arial" w:cs="Arial"/>
          <w:b/>
          <w:bCs/>
          <w:noProof/>
          <w:kern w:val="1"/>
          <w:sz w:val="24"/>
          <w:szCs w:val="24"/>
          <w:lang w:val="sr-Cyrl-RS"/>
        </w:rPr>
        <w:t>Члан 1.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kern w:val="1"/>
          <w:sz w:val="24"/>
          <w:szCs w:val="24"/>
          <w:lang w:val="en-US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ru-RU" w:eastAsia="ar-SA"/>
        </w:rPr>
        <w:t>Назив плана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ru-RU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Доношењем ове Одлуке приступа се изради Измена и допуна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 Плана детаљне регулације за за подручје хотела Торник-Камаљ („Службени лист Општине Чајетина“, бр. 14/2017), у даљем тексту: План детаљне регулације. 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2.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  <w:t>Оквирна граница Плана детаљне регулације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Планом детаљне регулације разрадиће се део територије Општине Чајетина у површини од око 4 ha 44 ари 15 </w:t>
      </w:r>
      <w:r w:rsidRPr="00B31EED">
        <w:rPr>
          <w:rFonts w:ascii="Arial" w:eastAsia="Times New Roman" w:hAnsi="Arial" w:cs="Arial"/>
          <w:kern w:val="1"/>
          <w:sz w:val="24"/>
          <w:szCs w:val="24"/>
        </w:rPr>
        <w:t>m</w:t>
      </w:r>
      <w:r w:rsidRPr="00B31EED">
        <w:rPr>
          <w:rFonts w:ascii="Arial" w:eastAsia="Times New Roman" w:hAnsi="Arial" w:cs="Arial"/>
          <w:kern w:val="1"/>
          <w:sz w:val="24"/>
          <w:szCs w:val="24"/>
          <w:vertAlign w:val="superscript"/>
          <w:lang w:val="sr-Cyrl-RS"/>
        </w:rPr>
        <w:t>2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ru-RU"/>
        </w:rPr>
        <w:t>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B31EED">
        <w:rPr>
          <w:rFonts w:ascii="Arial" w:eastAsia="Times New Roman" w:hAnsi="Arial" w:cs="Arial"/>
          <w:kern w:val="1"/>
          <w:sz w:val="24"/>
          <w:szCs w:val="24"/>
          <w:lang w:val="ru-RU"/>
        </w:rPr>
        <w:t xml:space="preserve">Граница Плана је дефинисана планом вишег реда-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ПГР  насељеног места </w:t>
      </w:r>
      <w:proofErr w:type="spellStart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(седиште општине) са насељеним местом Златибор - I фаза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>(„Службени лист Општине Чајетина“, бр. 2/2012, 4/2016, 2/2017, 4/2017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>,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 8/2017, 14/2018, 18/2019, 3/2020, 4/2020, 6/6021, 2/2022 и 14/2022).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Граница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>Плана детаљне регулације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је дефинисана као прелиминарна, а коначна граница ће се утврдити и дефинисати приликом припреме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и верификације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нацрта плана. 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Саставни део ове одлуке је графички приказ са прелиминарном границом обухвата Плана детаљне регулације. 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Члан 3.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/>
        </w:rPr>
        <w:t>Услови и смернице планских докумената вишег реда и ширег подручја и списак потребних подлога за план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spacing w:after="0" w:line="0" w:lineRule="atLeast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Плански основ за израду Плана детаљне регулације је План генералне регулације насељеног места </w:t>
      </w:r>
      <w:proofErr w:type="spellStart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(седиште општине) са насељеним местом Златибор - I фаза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>(„Службени лист Општине Чајетина“, бр. 2/2012, 4/2016, 2/2017, 4/2017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>,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 8/2017, 14/2018, 18/2019, 3/2020, 4/2020, 6/6021, 2/2022 и 14/2022)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RS" w:eastAsia="ar-SA"/>
        </w:rPr>
        <w:t xml:space="preserve">и 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План детаљне регулације за за подручје хотела Торник-Камаљ („Службени лист Општине Чајетина“, бр. 14/2017).</w:t>
      </w:r>
    </w:p>
    <w:p w:rsidR="005F7D8A" w:rsidRPr="00B31EED" w:rsidRDefault="005F7D8A" w:rsidP="005F7D8A">
      <w:pPr>
        <w:spacing w:after="0" w:line="0" w:lineRule="atLeast"/>
        <w:ind w:firstLine="709"/>
        <w:jc w:val="both"/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ПГР  насељеног места </w:t>
      </w:r>
      <w:proofErr w:type="spellStart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(седиште општине) са насељеним местом Златибор - I фаза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(„Службени лист Општине Чајетина“, бр. 2/2012, 4/2016, 2/2017,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lastRenderedPageBreak/>
        <w:t>4/2017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>,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 8/2017, 14/2018, 18/2019, 3/2020, 4/2020, 6/6021, 2/2022 и 14/2022)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као планом вишег реда, дата је могућност израде Планова детаљне регулације по дефинисаним целинама и/или </w:t>
      </w:r>
      <w:proofErr w:type="spellStart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подцелинама</w:t>
      </w:r>
      <w:proofErr w:type="spellEnd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у складу са потребама општине.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За потребе Плана детаљне регулације, користиће се дигитална катастарска подлога добијена од Републичког геодетског завода, Служба за катастар непокретности </w:t>
      </w:r>
      <w:proofErr w:type="spellStart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, и катастарско топографски снимак.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>Члан  4.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C00000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/>
        </w:rPr>
        <w:t>Начела планирања, коришћења, уређења и заштите простора из важеће планске документације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>С обзиром да је предмет обраде у Плану детаљне регулације претежно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 простор са већ изграђеним туристичким комплексом – хотелом,  породичним кућама и вилама, даљи развој подразумева даље уређење и надградњу већ изграђених простора и уређење неизграђеног простора у складу са постојећим стањем.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b/>
          <w:bCs/>
          <w:kern w:val="1"/>
          <w:sz w:val="24"/>
          <w:szCs w:val="24"/>
          <w:lang w:val="sr-Cyrl-CS" w:eastAsia="ar-SA"/>
        </w:rPr>
        <w:t>Члан 5.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  <w:t>Визија и циљ израде плана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Основни циљ израде Измена и допуна Плана детаљне регулације је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утврђивање правила уређења и грађења, односно стварање планског основа за:</w:t>
      </w:r>
    </w:p>
    <w:p w:rsidR="005F7D8A" w:rsidRPr="00B31EED" w:rsidRDefault="005F7D8A" w:rsidP="005F7D8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Подстицај развоја туризма који ће Златибор као туристички центар Србије од националног значаја учинити конкурентним у наредном средњорочном временском периоду;</w:t>
      </w:r>
    </w:p>
    <w:p w:rsidR="005F7D8A" w:rsidRPr="00B31EED" w:rsidRDefault="005F7D8A" w:rsidP="005F7D8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Унапређење постојећих саобраћајних решења, подизање нивоа инфраструктурне опремљености и повећањем конкурентности простора обухвата Плана детаљне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 регулације;</w:t>
      </w:r>
    </w:p>
    <w:p w:rsidR="005F7D8A" w:rsidRPr="00B31EED" w:rsidRDefault="005F7D8A" w:rsidP="005F7D8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Израду урбанистичко-техничких докумената и издавање информације о локацији и локацијских услова.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  <w:t>Члан 6.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/>
        </w:rPr>
        <w:t>К</w:t>
      </w:r>
      <w:proofErr w:type="spellStart"/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  <w:t>онцептуални</w:t>
      </w:r>
      <w:proofErr w:type="spellEnd"/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  <w:t xml:space="preserve"> оквир планирања, са предлогом основних намена простора и коришћења земљишта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sr-Cyrl-CS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en-U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 xml:space="preserve">Изменама и допунама Плана детаљне регулације додатно ће се разрадити простор који је већ дефинисан 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Планом детаљне регулације за подручје хотела Торник-Камаљ („Службени лист Општине Чајетина“, бр. 14/2017), а за неизграђени део обухвата Плана се планира уређење у складу са правилима која се односе на већ изграђени простор у обухвату Плана. 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На основу члана 27., став 6,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Закона о планирању и изградњи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(„Службени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lastRenderedPageBreak/>
        <w:t>гласник РС“, бр. 72/09, 81/09- испр., 64/2010 – одлука УС, 24/2011, 121/2012, 42/2013- одлука УС, 50/2013- одлука УС, 98/2013- одлука УС, 132/2014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 xml:space="preserve">,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>145/2014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>, 83/2018, 31/2019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,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</w:rPr>
        <w:t>37/2019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>, 9/2020, 52/2021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en-US"/>
        </w:rPr>
        <w:t xml:space="preserve"> </w:t>
      </w:r>
      <w:r w:rsidRPr="00B31EED">
        <w:rPr>
          <w:rFonts w:ascii="Arial" w:eastAsia="Times New Roman" w:hAnsi="Arial" w:cs="Arial"/>
          <w:noProof/>
          <w:kern w:val="1"/>
          <w:sz w:val="24"/>
          <w:szCs w:val="24"/>
          <w:lang w:val="sr-Cyrl-RS"/>
        </w:rPr>
        <w:t xml:space="preserve">и 62/2023) 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утврђује се период забране градње у обухвату овог планског документа а најдуже 12 месеци од дана доношења ове Одлуке.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7.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  <w:t>Начин финансирања израде планског документа, назив носиоца израде и рок за израду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ru-RU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Средства за израду Плана детаљне регулације обезбедиће се из буџета Општине </w:t>
      </w:r>
      <w:proofErr w:type="spellStart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. 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 xml:space="preserve">Носилац израде је Општинска управа </w:t>
      </w:r>
      <w:proofErr w:type="spellStart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Чајетина</w:t>
      </w:r>
      <w:proofErr w:type="spellEnd"/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  <w:t>. Израда Плана детаљне регулације повериће се најповољнијем понуђачу након спроведеног поступка у складу са Законом о јавним набавкама.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>Рок за израду нацрта ПДРа је 90 дана од дана ступања на снагу ове одлуке, неурачунавајући време потребно за спровођење законске процедуре.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  <w:t>Члан 8.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val="ru-RU" w:eastAsia="ar-SA"/>
        </w:rPr>
        <w:t>Место и начин обављања јавног увида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kern w:val="1"/>
          <w:sz w:val="24"/>
          <w:szCs w:val="24"/>
          <w:lang w:val="ru-RU"/>
        </w:rPr>
        <w:t>Носилац израде Плана након доношења ове Одлуке организује рани јавни увид у складу са чланом 45а. Закона о планирању и изградњи, који се оглашава седам дана пре отпочињања увида, у средствима јавног информисања и у електронском облику на интернет страници општине Чајетина и траје 15 дана од дана објављивања.</w:t>
      </w:r>
    </w:p>
    <w:p w:rsidR="005F7D8A" w:rsidRPr="00B31EED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kern w:val="1"/>
          <w:sz w:val="24"/>
          <w:szCs w:val="24"/>
          <w:lang w:val="ru-RU"/>
        </w:rPr>
        <w:tab/>
        <w:t>Након обављене стручне контроле Нацрта плана од стране Комисије за планове, у складу са чланом 49.Закона о планирању и изградњи, План се упућује на јавни увид у трајању од 30 дана, који се оглашава у дневним и локалним средствима јавног информисања.</w:t>
      </w:r>
    </w:p>
    <w:p w:rsidR="005F7D8A" w:rsidRPr="00B31EED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kern w:val="1"/>
          <w:sz w:val="24"/>
          <w:szCs w:val="24"/>
          <w:lang w:val="ru-RU"/>
        </w:rPr>
        <w:tab/>
        <w:t>Подаци о месту, начину и времену излагања нацрта Плана на јавни увид огласиће се у дневном листу и локалним средствима информисања.</w:t>
      </w:r>
    </w:p>
    <w:p w:rsidR="005F7D8A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kern w:val="1"/>
          <w:sz w:val="24"/>
          <w:szCs w:val="24"/>
          <w:lang w:val="ru-RU"/>
        </w:rPr>
        <w:tab/>
        <w:t>О излагању Плана на јавни увид стара се носилац израде.</w:t>
      </w:r>
    </w:p>
    <w:p w:rsidR="005F7D8A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5F7D8A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5F7D8A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tabs>
          <w:tab w:val="left" w:pos="79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</w:pPr>
      <w:r w:rsidRPr="00B31EED">
        <w:rPr>
          <w:rFonts w:ascii="Arial" w:eastAsia="Times New Roman" w:hAnsi="Arial" w:cs="Arial"/>
          <w:b/>
          <w:bCs/>
          <w:kern w:val="1"/>
          <w:sz w:val="24"/>
          <w:szCs w:val="24"/>
          <w:lang w:val="ru-RU"/>
        </w:rPr>
        <w:t>Члан 9.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ru-RU" w:eastAsia="ar-SA"/>
        </w:rPr>
        <w:t>Остали елементи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4"/>
          <w:szCs w:val="24"/>
          <w:lang w:val="ru-RU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За потребе израде Плана детаљне регулације, 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sr-Cyrl-RS" w:eastAsia="ar-SA"/>
        </w:rPr>
        <w:t xml:space="preserve">не 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приступа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се изради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lastRenderedPageBreak/>
        <w:t>Стратешке процене утицаја на животну средину, на основу претходно обављеног поступка о одлучивању, сходно Закону о стратешкој процени утицаја на животну средину (“Службени гласник РС”, број 135/2004 и 88/2010).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b/>
          <w:bCs/>
          <w:kern w:val="1"/>
          <w:sz w:val="24"/>
          <w:szCs w:val="24"/>
          <w:lang w:val="ru-RU" w:eastAsia="ar-SA"/>
        </w:rPr>
        <w:t>Члан 10.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План детаљне регулације израдиће се у 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четири (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sr-Cyrl-CS" w:eastAsia="ar-SA"/>
        </w:rPr>
        <w:t>4</w:t>
      </w:r>
      <w:r w:rsidRPr="00B31EED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) </w:t>
      </w:r>
      <w:r w:rsidRPr="00B31EED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истоветих примерка у штампаном (аналогном) и четири (4) истоветна примерка у дигиталном облику. 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CS" w:eastAsia="ar-SA"/>
        </w:rPr>
        <w:t>Члан 11.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ab/>
        <w:t xml:space="preserve">Ступањем на  снагу  ове одлуке ставља се ван снаге Одлука о изради измена   Плана детаљне регулација за хотел </w:t>
      </w:r>
      <w:proofErr w:type="spellStart"/>
      <w:r w:rsidRPr="00B31EE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>Торник</w:t>
      </w:r>
      <w:proofErr w:type="spellEnd"/>
      <w:r w:rsidRPr="00B31EE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  <w:t xml:space="preserve"> која је донета  21. фебруара 2019.године од бројем 02-18/2019-01.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CS" w:eastAsia="ar-SA"/>
        </w:rPr>
      </w:pPr>
      <w:r w:rsidRPr="00B31EED"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CS" w:eastAsia="ar-SA"/>
        </w:rPr>
        <w:t>Члан 12.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val="sr-Cyrl-CS" w:eastAsia="ar-SA"/>
        </w:rPr>
      </w:pPr>
    </w:p>
    <w:p w:rsidR="005F7D8A" w:rsidRPr="00B31EED" w:rsidRDefault="005F7D8A" w:rsidP="005F7D8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5F7D8A" w:rsidRPr="00B31EED" w:rsidRDefault="005F7D8A" w:rsidP="005F7D8A">
      <w:pPr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1EED">
        <w:rPr>
          <w:rFonts w:ascii="Arial" w:eastAsia="Times New Roman" w:hAnsi="Arial" w:cs="Arial"/>
          <w:sz w:val="24"/>
          <w:szCs w:val="24"/>
          <w:lang w:val="sr-Cyrl-CS"/>
        </w:rPr>
        <w:t xml:space="preserve">Ова Одлука ступа на снагу осмог дана од дана објављивања у ''Службеном листу општине </w:t>
      </w:r>
      <w:proofErr w:type="spellStart"/>
      <w:r w:rsidRPr="00B31EED">
        <w:rPr>
          <w:rFonts w:ascii="Arial" w:eastAsia="Times New Roman" w:hAnsi="Arial" w:cs="Arial"/>
          <w:sz w:val="24"/>
          <w:szCs w:val="24"/>
          <w:lang w:val="sr-Cyrl-CS"/>
        </w:rPr>
        <w:t>Чајетина</w:t>
      </w:r>
      <w:proofErr w:type="spellEnd"/>
      <w:r w:rsidRPr="00B31EED">
        <w:rPr>
          <w:rFonts w:ascii="Arial" w:eastAsia="Times New Roman" w:hAnsi="Arial" w:cs="Arial"/>
          <w:sz w:val="24"/>
          <w:szCs w:val="24"/>
          <w:lang w:val="sr-Cyrl-CS"/>
        </w:rPr>
        <w:t>''.</w:t>
      </w:r>
    </w:p>
    <w:p w:rsidR="005F7D8A" w:rsidRPr="00B31EED" w:rsidRDefault="005F7D8A" w:rsidP="005F7D8A">
      <w:pPr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F7D8A" w:rsidRPr="00B31EED" w:rsidRDefault="005F7D8A" w:rsidP="005F7D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31EED">
        <w:rPr>
          <w:rFonts w:ascii="Arial" w:eastAsia="Times New Roman" w:hAnsi="Arial" w:cs="Arial"/>
          <w:b/>
          <w:sz w:val="28"/>
          <w:szCs w:val="28"/>
          <w:lang w:val="sr-Cyrl-CS"/>
        </w:rPr>
        <w:t>СКУПШТИНА ОПШТИНЕ ЧАЈЕТИНА</w:t>
      </w:r>
    </w:p>
    <w:p w:rsidR="005F7D8A" w:rsidRPr="00B31EED" w:rsidRDefault="005F7D8A" w:rsidP="005F7D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1EED">
        <w:rPr>
          <w:rFonts w:ascii="Arial" w:eastAsia="Times New Roman" w:hAnsi="Arial" w:cs="Arial"/>
          <w:b/>
          <w:sz w:val="24"/>
          <w:szCs w:val="24"/>
          <w:lang w:val="sr-Cyrl-CS"/>
        </w:rPr>
        <w:t>Број: 02- 89/2023-01 од 14. септембра 2023.године</w:t>
      </w:r>
    </w:p>
    <w:p w:rsidR="005F7D8A" w:rsidRPr="00B31EED" w:rsidRDefault="005F7D8A" w:rsidP="005F7D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F7D8A" w:rsidRPr="00B31EED" w:rsidRDefault="005F7D8A" w:rsidP="005F7D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F7D8A" w:rsidRPr="00B31EED" w:rsidRDefault="005F7D8A" w:rsidP="005F7D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F7D8A" w:rsidRPr="00B31EED" w:rsidRDefault="005F7D8A" w:rsidP="005F7D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1EED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Pr="00B31EED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</w:t>
      </w:r>
    </w:p>
    <w:p w:rsidR="005F7D8A" w:rsidRPr="00B31EED" w:rsidRDefault="005F7D8A" w:rsidP="005F7D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1EE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            Скупштине општине,</w:t>
      </w:r>
    </w:p>
    <w:p w:rsidR="005F7D8A" w:rsidRPr="00B31EED" w:rsidRDefault="005F7D8A" w:rsidP="005F7D8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B31EED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Pr="00B31EED">
        <w:rPr>
          <w:rFonts w:ascii="Arial" w:eastAsia="Times New Roman" w:hAnsi="Arial" w:cs="Arial"/>
          <w:i/>
          <w:sz w:val="24"/>
          <w:szCs w:val="24"/>
          <w:lang w:val="sr-Cyrl-CS"/>
        </w:rPr>
        <w:t>Арсен Ђурић</w:t>
      </w:r>
    </w:p>
    <w:p w:rsidR="005F7D8A" w:rsidRPr="00B31EED" w:rsidRDefault="005F7D8A" w:rsidP="005F7D8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sr-Cyrl-CS" w:eastAsia="ar-SA"/>
        </w:rPr>
      </w:pPr>
    </w:p>
    <w:p w:rsidR="00F71379" w:rsidRDefault="00C51C82" w:rsidP="004B039A">
      <w:bookmarkStart w:id="0" w:name="_GoBack"/>
      <w:bookmarkEnd w:id="0"/>
      <w:r w:rsidRPr="00422F62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 </w:t>
      </w:r>
    </w:p>
    <w:sectPr w:rsidR="00F7137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82" w:rsidRDefault="00C87782" w:rsidP="00C51C82">
      <w:pPr>
        <w:spacing w:after="0" w:line="240" w:lineRule="auto"/>
      </w:pPr>
      <w:r>
        <w:separator/>
      </w:r>
    </w:p>
  </w:endnote>
  <w:endnote w:type="continuationSeparator" w:id="0">
    <w:p w:rsidR="00C87782" w:rsidRDefault="00C87782" w:rsidP="00C5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2" w:rsidRDefault="00C87782">
    <w:pPr>
      <w:pStyle w:val="Teloteksta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82" w:rsidRDefault="00C87782" w:rsidP="00C51C82">
      <w:pPr>
        <w:spacing w:after="0" w:line="240" w:lineRule="auto"/>
      </w:pPr>
      <w:r>
        <w:separator/>
      </w:r>
    </w:p>
  </w:footnote>
  <w:footnote w:type="continuationSeparator" w:id="0">
    <w:p w:rsidR="00C87782" w:rsidRDefault="00C87782" w:rsidP="00C5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E" w:rsidRDefault="00C87782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C87782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C87782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0636759"/>
    <w:multiLevelType w:val="multilevel"/>
    <w:tmpl w:val="A030BB9A"/>
    <w:lvl w:ilvl="0">
      <w:start w:val="1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876" w:hanging="612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70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1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1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2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2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23" w:hanging="612"/>
      </w:pPr>
      <w:rPr>
        <w:rFonts w:hint="default"/>
        <w:lang w:eastAsia="en-US" w:bidi="ar-SA"/>
      </w:rPr>
    </w:lvl>
  </w:abstractNum>
  <w:abstractNum w:abstractNumId="2" w15:restartNumberingAfterBreak="0">
    <w:nsid w:val="61BA624F"/>
    <w:multiLevelType w:val="multilevel"/>
    <w:tmpl w:val="349801C6"/>
    <w:lvl w:ilvl="0">
      <w:start w:val="2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466" w:hanging="61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593" w:hanging="797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2886" w:hanging="7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72" w:hanging="7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58" w:hanging="7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45" w:hanging="7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1" w:hanging="797"/>
      </w:pPr>
      <w:rPr>
        <w:rFonts w:hint="default"/>
        <w:lang w:eastAsia="en-US" w:bidi="ar-SA"/>
      </w:rPr>
    </w:lvl>
  </w:abstractNum>
  <w:abstractNum w:abstractNumId="3" w15:restartNumberingAfterBreak="0">
    <w:nsid w:val="70890661"/>
    <w:multiLevelType w:val="multilevel"/>
    <w:tmpl w:val="D966B0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2"/>
    <w:rsid w:val="001767EA"/>
    <w:rsid w:val="004B039A"/>
    <w:rsid w:val="005F7D8A"/>
    <w:rsid w:val="00C51C82"/>
    <w:rsid w:val="00C87782"/>
    <w:rsid w:val="00D05EFF"/>
    <w:rsid w:val="00DA116D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C7C"/>
  <w15:chartTrackingRefBased/>
  <w15:docId w15:val="{7F8DF9E1-6159-4756-940F-6BFC4A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82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1C82"/>
    <w:rPr>
      <w:lang w:val="sr-Latn-RS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51C8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51C82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1C82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2023-11-27T12:43:00Z</dcterms:created>
  <dcterms:modified xsi:type="dcterms:W3CDTF">2023-11-27T12:43:00Z</dcterms:modified>
</cp:coreProperties>
</file>