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На основу члана 20. став 1. тачка 2, 3. и 6. Закона о локалној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саноуправи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 („Службени гласник РС“, број </w:t>
      </w:r>
      <w:r w:rsidRPr="00351D3C">
        <w:rPr>
          <w:rFonts w:ascii="Arial" w:hAnsi="Arial" w:cs="Arial"/>
          <w:sz w:val="24"/>
          <w:szCs w:val="24"/>
          <w:lang w:val="en-US"/>
        </w:rPr>
        <w:t> </w:t>
      </w:r>
      <w:hyperlink r:id="rId5" w:history="1">
        <w:r w:rsidRPr="00351D3C">
          <w:rPr>
            <w:rFonts w:ascii="Arial" w:hAnsi="Arial" w:cs="Arial"/>
            <w:sz w:val="24"/>
            <w:szCs w:val="24"/>
            <w:lang w:val="en-US"/>
          </w:rPr>
          <w:t>129/07</w:t>
        </w:r>
      </w:hyperlink>
      <w:r w:rsidRPr="00351D3C">
        <w:rPr>
          <w:rFonts w:ascii="Arial" w:hAnsi="Arial" w:cs="Arial"/>
          <w:sz w:val="24"/>
          <w:szCs w:val="24"/>
          <w:lang w:val="en-US"/>
        </w:rPr>
        <w:t>, </w:t>
      </w:r>
      <w:hyperlink r:id="rId6" w:history="1">
        <w:r w:rsidRPr="00351D3C">
          <w:rPr>
            <w:rFonts w:ascii="Arial" w:hAnsi="Arial" w:cs="Arial"/>
            <w:sz w:val="24"/>
            <w:szCs w:val="24"/>
            <w:lang w:val="en-US"/>
          </w:rPr>
          <w:t>83/14</w:t>
        </w:r>
      </w:hyperlink>
      <w:r w:rsidRPr="00351D3C">
        <w:rPr>
          <w:rFonts w:ascii="Arial" w:hAnsi="Arial" w:cs="Arial"/>
          <w:sz w:val="24"/>
          <w:szCs w:val="24"/>
          <w:lang w:val="en-US"/>
        </w:rPr>
        <w:t xml:space="preserve"> -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други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>, </w:t>
      </w:r>
      <w:hyperlink r:id="rId7" w:history="1">
        <w:r w:rsidRPr="00351D3C">
          <w:rPr>
            <w:rFonts w:ascii="Arial" w:hAnsi="Arial" w:cs="Arial"/>
            <w:sz w:val="24"/>
            <w:szCs w:val="24"/>
            <w:lang w:val="en-US"/>
          </w:rPr>
          <w:t>101/16</w:t>
        </w:r>
      </w:hyperlink>
      <w:r w:rsidRPr="00351D3C">
        <w:rPr>
          <w:rFonts w:ascii="Arial" w:hAnsi="Arial" w:cs="Arial"/>
          <w:sz w:val="24"/>
          <w:szCs w:val="24"/>
          <w:lang w:val="en-US"/>
        </w:rPr>
        <w:t xml:space="preserve"> -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други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>, </w:t>
      </w:r>
      <w:hyperlink r:id="rId8" w:history="1">
        <w:r w:rsidRPr="00351D3C">
          <w:rPr>
            <w:rFonts w:ascii="Arial" w:hAnsi="Arial" w:cs="Arial"/>
            <w:sz w:val="24"/>
            <w:szCs w:val="24"/>
            <w:lang w:val="en-US"/>
          </w:rPr>
          <w:t>47/18</w:t>
        </w:r>
      </w:hyperlink>
      <w:r w:rsidRPr="00351D3C">
        <w:rPr>
          <w:rFonts w:ascii="Arial" w:hAnsi="Arial" w:cs="Arial"/>
          <w:sz w:val="24"/>
          <w:szCs w:val="24"/>
          <w:lang w:val="en-US"/>
        </w:rPr>
        <w:t> и </w:t>
      </w:r>
      <w:hyperlink r:id="rId9" w:history="1">
        <w:r w:rsidRPr="00351D3C">
          <w:rPr>
            <w:rFonts w:ascii="Arial" w:hAnsi="Arial" w:cs="Arial"/>
            <w:sz w:val="24"/>
            <w:szCs w:val="24"/>
            <w:lang w:val="en-US"/>
          </w:rPr>
          <w:t>111/21</w:t>
        </w:r>
      </w:hyperlink>
      <w:r w:rsidRPr="00351D3C">
        <w:rPr>
          <w:rFonts w:ascii="Arial" w:hAnsi="Arial" w:cs="Arial"/>
          <w:sz w:val="24"/>
          <w:szCs w:val="24"/>
          <w:lang w:val="en-US"/>
        </w:rPr>
        <w:t> - </w:t>
      </w:r>
      <w:proofErr w:type="spellStart"/>
      <w:r w:rsidRPr="00351D3C">
        <w:rPr>
          <w:rFonts w:ascii="Arial" w:hAnsi="Arial" w:cs="Arial"/>
          <w:sz w:val="24"/>
          <w:szCs w:val="24"/>
          <w:lang w:val="hr-HR"/>
        </w:rPr>
        <w:t>други</w:t>
      </w:r>
      <w:proofErr w:type="spellEnd"/>
      <w:r w:rsidRPr="00351D3C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hr-HR"/>
        </w:rPr>
        <w:t>закон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), чланова 1, 2, 3, 4, 5, 34. и 35. Закона о комуналним делатностима („Службени гласник РС“ број 88/11, 104/16, 95/18) и члана 40. став 1. тачка 19. Статута Општине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 („Службени лист Општине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“ број 2/2019), на седници одржаној дана  19. октобра 2023. године, донела је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6253" w:rsidRPr="00351D3C" w:rsidRDefault="002E6253" w:rsidP="002E6253">
      <w:pPr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t>ОДЛУКУ О ИЗМЕНИ И ДОПУНИ ОДЛУКЕ О КОМУНАЛНОМ УРЕЂЕЊУ ОПШТИНЕ ЧАЈЕТИНА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У Одлуци о комуналном уређењу општине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 („Службени лист општине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“ број 7/2017, 6/2021, 8/2021 и 4/2022), мења се члан 98. тако да </w:t>
      </w:r>
      <w:r w:rsidRPr="00351D3C">
        <w:rPr>
          <w:rFonts w:ascii="Arial" w:hAnsi="Arial" w:cs="Arial"/>
          <w:b/>
          <w:sz w:val="24"/>
          <w:szCs w:val="24"/>
          <w:lang w:val="sr-Cyrl-RS"/>
        </w:rPr>
        <w:t>уместо: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„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Субјекти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који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управљају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изворима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бунарима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јавним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чесмама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другим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објектима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снабдевање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пијаћом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као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њихови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корисници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дужни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одржавају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функционалном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хигијенски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исправном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стању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чувају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оштећења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Удаљеност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септичних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објеката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пољских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WC-а,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стаја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штала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свињаца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живинарника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сл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.)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објеката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водоснабдевања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дефинише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одобрењем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изградњу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уколико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већ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постављени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обезбедити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одвођење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отпадних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њих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начин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који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ће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водоснабдевања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потпуно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заштићени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загађења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Уколико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није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могуће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обезбедити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услове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овог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онда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морају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изместити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удаљеност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најмање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10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метара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објекта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водоснабдевања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односно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најмање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метара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живог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извора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само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нижој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изградити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удаљености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најмање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метра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наведених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објеката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условом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прописно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изграђена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водонепропусна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нижа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нивоа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водоводне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мреже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морају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изграђене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бетона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глазуром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како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спречило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атмосферске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подземне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воде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продру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или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садржај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излива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10 м</w:t>
      </w:r>
      <w:proofErr w:type="gramStart"/>
      <w:r w:rsidRPr="00351D3C">
        <w:rPr>
          <w:rFonts w:ascii="Arial" w:hAnsi="Arial" w:cs="Arial"/>
          <w:sz w:val="24"/>
          <w:szCs w:val="24"/>
          <w:lang w:val="en-US"/>
        </w:rPr>
        <w:t>3 ,</w:t>
      </w:r>
      <w:proofErr w:type="gram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месту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које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приступачно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возила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њено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пражњење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мора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редовно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празнити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како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неби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дошло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изливања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њеног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садржаја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Пражњење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вршити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свако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доба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ограничења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Ближе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услове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начин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пражњења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место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коме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празни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истаче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садржај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септичких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одређује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комунално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предузеће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E6253" w:rsidRPr="00351D3C" w:rsidRDefault="002E6253" w:rsidP="002E625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Власници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корисници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објеката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који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користе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септичку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дужни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су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присупања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пражњења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јаме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прибаве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услове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претходног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1D3C">
        <w:rPr>
          <w:rFonts w:ascii="Arial" w:hAnsi="Arial" w:cs="Arial"/>
          <w:sz w:val="24"/>
          <w:szCs w:val="24"/>
          <w:lang w:val="en-US"/>
        </w:rPr>
        <w:t>овог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51D3C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51D3C">
        <w:rPr>
          <w:rFonts w:ascii="Arial" w:hAnsi="Arial" w:cs="Arial"/>
          <w:sz w:val="24"/>
          <w:szCs w:val="24"/>
          <w:lang w:val="en-US"/>
        </w:rPr>
        <w:t>.</w:t>
      </w:r>
      <w:r w:rsidRPr="00351D3C">
        <w:rPr>
          <w:rFonts w:ascii="Arial" w:hAnsi="Arial" w:cs="Arial"/>
          <w:sz w:val="24"/>
          <w:szCs w:val="24"/>
          <w:lang w:val="sr-Cyrl-RS"/>
        </w:rPr>
        <w:t>“</w:t>
      </w:r>
      <w:proofErr w:type="gramEnd"/>
    </w:p>
    <w:p w:rsidR="002E6253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2E6253" w:rsidRPr="00351D3C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lastRenderedPageBreak/>
        <w:t>сада гласи:</w:t>
      </w:r>
    </w:p>
    <w:p w:rsidR="002E6253" w:rsidRPr="00351D3C" w:rsidRDefault="002E6253" w:rsidP="002E625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„Субјекти који управљају изворима, бунарима, јавним чесмама и другим објектима за водоснабдевање пијаћом водом, као и њихови корисници, дужни су да их одржавају у функционалном и хигијенски исправном стању и да их чувају од оштећења.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Уколико не постоје технички услови за прикључење објекта на јавну канализациону мрежу одвод отпадних вода из објекта се решава преко септичке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биојаме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 или водонепропусне септичке јаме.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Удаљеност септичних објеката (пољских </w:t>
      </w:r>
      <w:r w:rsidRPr="00351D3C">
        <w:rPr>
          <w:rFonts w:ascii="Arial" w:hAnsi="Arial" w:cs="Arial"/>
          <w:sz w:val="24"/>
          <w:szCs w:val="24"/>
          <w:lang w:val="en-US"/>
        </w:rPr>
        <w:t>WC-</w:t>
      </w:r>
      <w:r w:rsidRPr="00351D3C">
        <w:rPr>
          <w:rFonts w:ascii="Arial" w:hAnsi="Arial" w:cs="Arial"/>
          <w:sz w:val="24"/>
          <w:szCs w:val="24"/>
          <w:lang w:val="sr-Cyrl-RS"/>
        </w:rPr>
        <w:t>а, стаја, штала, свињаца, живинарника и сл.) од објеката водоснабдевања се дефинише одобрењем за изградњу, а уколико су већ постављени, мора се обезбедити одвођење отпадних вода из њих на начин на који ће објекти водоснабдевања бити потпуно заштићени од загађења.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Септичке јаме морају бити изграђене од дозвољених грађевинских материјала односно по прописима и стандардима за ову врсту објекта, како би се спречило да атмосферске и подземне воде продру у јаму, или да се садржај септичке јаме излива.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Изграђена септичка јама не сме бити пуштена у функцију док се не изврши технички пријем од стране овлашћених органа Општинске управе а након тога исту треба редовно чистити и празнити под условима надлежног комуналног предузећа.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Септичка јама мора бити на месту које је приступачно за возила за њено пражњење и мора се редовно празнити, како не би дошло до изливања њеног садржаја.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Пражњење септичких јама може се вршити у свако доба дана без ограничења.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Ближе услове за начин пражњења и место на коме се празни (истаче) садржај септичких јама, одређује комунално предузеће.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>Власници и корисници објеката који користе септичку јаму дужни су да пре приступања пражњења јаме прибаве услове из претходног става овог члана.</w:t>
      </w:r>
    </w:p>
    <w:p w:rsidR="002E6253" w:rsidRPr="00351D3C" w:rsidRDefault="002E6253" w:rsidP="002E6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Септичку јаму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димензионисати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 xml:space="preserve"> према капацитету отпадних вода, у складу са техничким условима прибављеним од стране ЈКП „Водовод Златибор“ из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>.“</w:t>
      </w:r>
    </w:p>
    <w:p w:rsidR="002E6253" w:rsidRPr="00351D3C" w:rsidRDefault="002E6253" w:rsidP="002E6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2E6253" w:rsidRPr="00351D3C" w:rsidRDefault="002E6253" w:rsidP="002E6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Pr="00351D3C" w:rsidRDefault="002E6253" w:rsidP="002E6253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RS"/>
        </w:rPr>
      </w:pPr>
      <w:r w:rsidRPr="00351D3C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''Службеном листу Општине </w:t>
      </w:r>
      <w:proofErr w:type="spellStart"/>
      <w:r w:rsidRPr="00351D3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51D3C">
        <w:rPr>
          <w:rFonts w:ascii="Arial" w:hAnsi="Arial" w:cs="Arial"/>
          <w:sz w:val="24"/>
          <w:szCs w:val="24"/>
          <w:lang w:val="sr-Cyrl-RS"/>
        </w:rPr>
        <w:t>'''.</w:t>
      </w:r>
    </w:p>
    <w:p w:rsidR="002E6253" w:rsidRPr="00351D3C" w:rsidRDefault="002E6253" w:rsidP="002E625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6253" w:rsidRPr="00351D3C" w:rsidRDefault="002E6253" w:rsidP="002E6253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51D3C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2E6253" w:rsidRPr="00351D3C" w:rsidRDefault="002E6253" w:rsidP="002E6253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t>Број:02- 106/2023-01 од 19.октобра  2023 године.</w:t>
      </w:r>
    </w:p>
    <w:p w:rsidR="002E6253" w:rsidRPr="00351D3C" w:rsidRDefault="002E6253" w:rsidP="002E6253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2E6253" w:rsidRPr="00351D3C" w:rsidRDefault="002E6253" w:rsidP="002E625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ПРЕДСЕДНИК</w:t>
      </w:r>
    </w:p>
    <w:p w:rsidR="002E6253" w:rsidRPr="00351D3C" w:rsidRDefault="002E6253" w:rsidP="002E6253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351D3C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</w:p>
    <w:p w:rsidR="002E6253" w:rsidRDefault="002E6253" w:rsidP="002E6253">
      <w:pPr>
        <w:spacing w:after="0" w:line="240" w:lineRule="auto"/>
        <w:ind w:firstLine="720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351D3C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                              Арсен Ђурић</w:t>
      </w:r>
    </w:p>
    <w:p w:rsidR="00640545" w:rsidRDefault="00640545"/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2E6253"/>
    <w:rsid w:val="00640545"/>
    <w:rsid w:val="00D65CCD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2023-11-16T07:46:00Z</dcterms:created>
  <dcterms:modified xsi:type="dcterms:W3CDTF">2023-11-16T07:46:00Z</dcterms:modified>
</cp:coreProperties>
</file>